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spacing w:line="600" w:lineRule="exact"/>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云南中医药大学宣传思想阵地管理办法</w:t>
      </w:r>
    </w:p>
    <w:p>
      <w:pPr>
        <w:pStyle w:val="5"/>
        <w:numPr>
          <w:ilvl w:val="0"/>
          <w:numId w:val="0"/>
        </w:numPr>
        <w:spacing w:line="600" w:lineRule="exact"/>
        <w:rPr>
          <w:rFonts w:hint="eastAsia" w:ascii="楷体_GB2312" w:hAnsi="方正小标宋简体" w:eastAsia="楷体_GB2312" w:cs="方正小标宋简体"/>
          <w:b/>
          <w:color w:val="auto"/>
        </w:rPr>
      </w:pPr>
      <w:r>
        <w:rPr>
          <w:rFonts w:hint="eastAsia" w:ascii="楷体_GB2312" w:hAnsi="方正小标宋简体" w:eastAsia="楷体_GB2312" w:cs="方正小标宋简体"/>
          <w:b/>
          <w:color w:val="auto"/>
        </w:rPr>
        <w:t>（</w:t>
      </w:r>
      <w:r>
        <w:rPr>
          <w:rFonts w:hint="eastAsia" w:ascii="楷体_GB2312" w:hAnsi="方正小标宋简体" w:eastAsia="楷体_GB2312" w:cs="方正小标宋简体"/>
          <w:b/>
          <w:color w:val="auto"/>
          <w:lang w:eastAsia="zh-CN"/>
        </w:rPr>
        <w:t>暂行</w:t>
      </w:r>
      <w:r>
        <w:rPr>
          <w:rFonts w:hint="eastAsia" w:ascii="楷体_GB2312" w:hAnsi="方正小标宋简体" w:eastAsia="楷体_GB2312" w:cs="方正小标宋简体"/>
          <w:b/>
          <w:color w:val="auto"/>
        </w:rPr>
        <w:t>）</w:t>
      </w:r>
    </w:p>
    <w:p>
      <w:pPr>
        <w:pStyle w:val="2"/>
        <w:spacing w:line="600" w:lineRule="exact"/>
        <w:jc w:val="center"/>
        <w:rPr>
          <w:rFonts w:hint="eastAsia" w:ascii="黑体" w:hAnsi="黑体" w:cs="黑体"/>
          <w:color w:val="auto"/>
          <w:szCs w:val="32"/>
        </w:rPr>
      </w:pPr>
      <w:bookmarkStart w:id="0" w:name="_Toc4309"/>
      <w:bookmarkStart w:id="1" w:name="_Toc18945"/>
      <w:bookmarkStart w:id="2" w:name="_Toc28322"/>
    </w:p>
    <w:p>
      <w:pPr>
        <w:pStyle w:val="2"/>
        <w:spacing w:line="600" w:lineRule="exact"/>
        <w:jc w:val="center"/>
        <w:rPr>
          <w:rFonts w:hint="eastAsia" w:ascii="黑体" w:hAnsi="黑体" w:cs="黑体"/>
          <w:color w:val="auto"/>
          <w:sz w:val="30"/>
          <w:szCs w:val="30"/>
        </w:rPr>
      </w:pPr>
      <w:r>
        <w:rPr>
          <w:rFonts w:hint="eastAsia" w:ascii="黑体" w:hAnsi="黑体" w:cs="黑体"/>
          <w:color w:val="auto"/>
          <w:szCs w:val="32"/>
        </w:rPr>
        <w:t>第一章  总则</w:t>
      </w:r>
      <w:bookmarkEnd w:id="0"/>
      <w:bookmarkEnd w:id="1"/>
      <w:bookmarkEnd w:id="2"/>
    </w:p>
    <w:p>
      <w:pPr>
        <w:spacing w:line="600" w:lineRule="exact"/>
        <w:ind w:firstLine="643" w:firstLineChars="200"/>
        <w:rPr>
          <w:rFonts w:hint="eastAsia" w:ascii="仿宋" w:hAnsi="仿宋" w:eastAsia="仿宋" w:cs="仿宋"/>
          <w:color w:val="auto"/>
          <w:sz w:val="32"/>
          <w:szCs w:val="22"/>
        </w:rPr>
      </w:pPr>
      <w:r>
        <w:rPr>
          <w:rFonts w:hint="eastAsia" w:ascii="楷体" w:hAnsi="楷体" w:eastAsia="楷体" w:cs="楷体"/>
          <w:b/>
          <w:color w:val="auto"/>
          <w:sz w:val="32"/>
          <w:szCs w:val="22"/>
        </w:rPr>
        <w:t>第一条</w:t>
      </w:r>
      <w:r>
        <w:rPr>
          <w:rFonts w:hint="eastAsia" w:ascii="仿宋" w:hAnsi="仿宋" w:eastAsia="仿宋" w:cs="仿宋"/>
          <w:color w:val="auto"/>
          <w:sz w:val="32"/>
          <w:szCs w:val="22"/>
        </w:rPr>
        <w:t> 为进一步贯彻落实全国宣传思想工作会议精神，加强</w:t>
      </w:r>
      <w:r>
        <w:rPr>
          <w:rFonts w:hint="eastAsia" w:ascii="仿宋" w:hAnsi="仿宋" w:eastAsia="仿宋" w:cs="仿宋"/>
          <w:color w:val="auto"/>
          <w:sz w:val="32"/>
          <w:szCs w:val="22"/>
          <w:lang w:eastAsia="zh-CN"/>
        </w:rPr>
        <w:t>我校宣传思想、意识形态及校园文化</w:t>
      </w:r>
      <w:r>
        <w:rPr>
          <w:rFonts w:hint="eastAsia" w:ascii="仿宋" w:hAnsi="仿宋" w:eastAsia="仿宋" w:cs="仿宋"/>
          <w:color w:val="auto"/>
          <w:sz w:val="32"/>
          <w:szCs w:val="22"/>
        </w:rPr>
        <w:t>阵地建设与管理，进一步促进我校新闻宣传和舆论阵地管理的制度化、科学化、规范化，内聚人心，外塑形象，推动学校宣传思想文化工作健康发展，根据中共中央、国务院《关于加强和改进新形势下高校思想政治工作的意见》（中发〔2016〕31号）等文件精神，结合我校实际，制定本办法。</w:t>
      </w:r>
    </w:p>
    <w:p>
      <w:pPr>
        <w:spacing w:line="600" w:lineRule="exact"/>
        <w:ind w:firstLine="643" w:firstLineChars="200"/>
        <w:rPr>
          <w:rFonts w:hint="eastAsia" w:ascii="仿宋" w:hAnsi="仿宋" w:eastAsia="仿宋" w:cs="仿宋"/>
          <w:color w:val="auto"/>
          <w:sz w:val="32"/>
          <w:szCs w:val="22"/>
        </w:rPr>
      </w:pPr>
      <w:r>
        <w:rPr>
          <w:rFonts w:hint="eastAsia" w:ascii="楷体" w:hAnsi="楷体" w:eastAsia="楷体" w:cs="楷体"/>
          <w:b/>
          <w:color w:val="auto"/>
          <w:sz w:val="32"/>
          <w:szCs w:val="22"/>
        </w:rPr>
        <w:t>第二条</w:t>
      </w:r>
      <w:r>
        <w:rPr>
          <w:rFonts w:hint="eastAsia" w:ascii="仿宋" w:hAnsi="仿宋" w:eastAsia="仿宋" w:cs="仿宋"/>
          <w:color w:val="auto"/>
          <w:sz w:val="32"/>
          <w:szCs w:val="22"/>
        </w:rPr>
        <w:t> 本办法所指宣传思想阵地是指学校各单位、各部门以及广大师生员工宣传政策、表达思想、传递信息、营造氛围的各种载体，主要包括宣传栏（含公告栏、阅报栏）、标语、横幅、拱门、海报、校内刊物、广播站、电子屏幕等传统媒体，学校官网、官方微博、官方微信公众号等新媒体平台以及报告会、研讨会、讲座、论坛等。</w:t>
      </w:r>
    </w:p>
    <w:p>
      <w:pPr>
        <w:spacing w:line="600" w:lineRule="exact"/>
        <w:ind w:firstLine="643" w:firstLineChars="200"/>
        <w:rPr>
          <w:rFonts w:hint="eastAsia" w:ascii="仿宋" w:hAnsi="仿宋" w:eastAsia="仿宋" w:cs="仿宋"/>
          <w:color w:val="auto"/>
          <w:sz w:val="32"/>
          <w:szCs w:val="22"/>
        </w:rPr>
      </w:pPr>
      <w:r>
        <w:rPr>
          <w:rFonts w:hint="eastAsia" w:ascii="楷体" w:hAnsi="楷体" w:eastAsia="楷体" w:cs="楷体"/>
          <w:b/>
          <w:color w:val="auto"/>
          <w:sz w:val="32"/>
          <w:szCs w:val="22"/>
        </w:rPr>
        <w:t>第三条 </w:t>
      </w:r>
      <w:r>
        <w:rPr>
          <w:rFonts w:hint="eastAsia" w:ascii="仿宋" w:hAnsi="仿宋" w:eastAsia="仿宋" w:cs="仿宋"/>
          <w:color w:val="auto"/>
          <w:sz w:val="32"/>
          <w:szCs w:val="22"/>
        </w:rPr>
        <w:t>校园宣传思想阵地管理要纳入学校意识形态工作责任制督查检查的重要内容。各单位、各部门负责人要切实履行责任，加强管理，形成督查检查的长效机制。</w:t>
      </w:r>
    </w:p>
    <w:p>
      <w:pPr>
        <w:spacing w:line="600" w:lineRule="exact"/>
        <w:ind w:firstLine="643" w:firstLineChars="200"/>
        <w:rPr>
          <w:rFonts w:hint="eastAsia" w:ascii="仿宋" w:hAnsi="仿宋" w:eastAsia="仿宋" w:cs="仿宋"/>
          <w:color w:val="auto"/>
          <w:sz w:val="32"/>
          <w:szCs w:val="22"/>
        </w:rPr>
      </w:pPr>
      <w:r>
        <w:rPr>
          <w:rFonts w:hint="eastAsia" w:ascii="楷体" w:hAnsi="楷体" w:eastAsia="楷体" w:cs="楷体"/>
          <w:b/>
          <w:color w:val="auto"/>
          <w:sz w:val="32"/>
          <w:szCs w:val="22"/>
        </w:rPr>
        <w:t>第四条 </w:t>
      </w:r>
      <w:r>
        <w:rPr>
          <w:rFonts w:hint="eastAsia" w:ascii="仿宋" w:hAnsi="仿宋" w:eastAsia="仿宋" w:cs="仿宋"/>
          <w:color w:val="auto"/>
          <w:sz w:val="32"/>
          <w:szCs w:val="22"/>
        </w:rPr>
        <w:t>校园宣传思想阵地按照“谁管理、谁负责，谁主办、谁负责，谁使用、谁负责，谁发布、谁负责”的基本原则进行管理。党委宣传部为校园宣传阵地的主管部门，使用和管理部门应接受其监督，具体归口管理由各单位、各部门负责。</w:t>
      </w:r>
    </w:p>
    <w:p>
      <w:pPr>
        <w:spacing w:line="600" w:lineRule="exact"/>
        <w:ind w:firstLine="643" w:firstLineChars="200"/>
        <w:rPr>
          <w:rFonts w:hint="eastAsia" w:ascii="仿宋" w:hAnsi="仿宋" w:eastAsia="仿宋" w:cs="仿宋"/>
          <w:color w:val="auto"/>
          <w:sz w:val="32"/>
          <w:szCs w:val="22"/>
        </w:rPr>
      </w:pPr>
      <w:r>
        <w:rPr>
          <w:rFonts w:hint="eastAsia" w:ascii="楷体" w:hAnsi="楷体" w:eastAsia="楷体" w:cs="楷体"/>
          <w:b/>
          <w:color w:val="auto"/>
          <w:sz w:val="32"/>
          <w:szCs w:val="22"/>
        </w:rPr>
        <w:t>第五条 </w:t>
      </w:r>
      <w:r>
        <w:rPr>
          <w:rFonts w:hint="eastAsia" w:ascii="仿宋" w:hAnsi="仿宋" w:eastAsia="仿宋" w:cs="仿宋"/>
          <w:color w:val="auto"/>
          <w:sz w:val="32"/>
          <w:szCs w:val="22"/>
        </w:rPr>
        <w:t>校内所有宣传思想阵地必须坚持正确的舆论导向，以习近平新时代中国特色社会主义思想和党的十九大精神为指导，积极宣传党的路线、方针、政策，宣传学校党委的工作部署和学校的中心工作，宣传积极健康的主流校园文化。</w:t>
      </w:r>
    </w:p>
    <w:p>
      <w:pPr>
        <w:spacing w:line="600" w:lineRule="exact"/>
        <w:ind w:firstLine="643" w:firstLineChars="200"/>
        <w:rPr>
          <w:rFonts w:hint="eastAsia" w:ascii="仿宋" w:hAnsi="仿宋" w:eastAsia="仿宋" w:cs="仿宋"/>
          <w:color w:val="auto"/>
          <w:sz w:val="32"/>
          <w:szCs w:val="22"/>
        </w:rPr>
      </w:pPr>
      <w:r>
        <w:rPr>
          <w:rFonts w:hint="eastAsia" w:ascii="楷体" w:hAnsi="楷体" w:eastAsia="楷体" w:cs="楷体"/>
          <w:b/>
          <w:color w:val="auto"/>
          <w:sz w:val="32"/>
          <w:szCs w:val="22"/>
        </w:rPr>
        <w:t>第六条</w:t>
      </w:r>
      <w:r>
        <w:rPr>
          <w:rFonts w:hint="eastAsia" w:ascii="楷体" w:hAnsi="楷体" w:eastAsia="楷体" w:cs="楷体"/>
          <w:color w:val="auto"/>
          <w:sz w:val="32"/>
          <w:szCs w:val="22"/>
        </w:rPr>
        <w:t>　</w:t>
      </w:r>
      <w:r>
        <w:rPr>
          <w:rFonts w:hint="eastAsia" w:ascii="仿宋" w:hAnsi="仿宋" w:eastAsia="仿宋" w:cs="仿宋"/>
          <w:color w:val="auto"/>
          <w:sz w:val="32"/>
          <w:szCs w:val="22"/>
        </w:rPr>
        <w:t>校内所有宣传思想阵地不准发布或转发含有下列内容的信息：</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1.反对宪法所确定的基本原则的；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2.危害国家统一、主权和领土完整的；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3.泄露国家秘密、危害国家安全或者损害国家荣誉和利益的；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4.煽动民族仇恨、民族歧视，破坏民族团结的；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5.破坏国家宗教政策，宣扬邪教和封建迷信的；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6.散布谣言、扰乱社会秩序、破坏社会稳定的；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7.散布未经确认的社会事件的；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8.散布淫秽、色情、赌博、暴力、恐怖或者教唆犯罪的；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9.侮辱或者诽谤他人，侵害他人合法权益的；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10.煽动非法集会、结社、游行、示威、聚众扰乱社会秩序的；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11.含有法律、法规禁止的其他内容的。</w:t>
      </w:r>
    </w:p>
    <w:p>
      <w:pPr>
        <w:spacing w:line="600" w:lineRule="exact"/>
        <w:ind w:firstLine="643" w:firstLineChars="200"/>
        <w:rPr>
          <w:rFonts w:hint="eastAsia" w:ascii="仿宋" w:hAnsi="仿宋" w:eastAsia="仿宋" w:cs="仿宋"/>
          <w:color w:val="auto"/>
          <w:sz w:val="32"/>
          <w:szCs w:val="22"/>
        </w:rPr>
      </w:pPr>
      <w:r>
        <w:rPr>
          <w:rFonts w:hint="eastAsia" w:ascii="楷体" w:hAnsi="楷体" w:eastAsia="楷体" w:cs="楷体"/>
          <w:b/>
          <w:color w:val="auto"/>
          <w:sz w:val="32"/>
          <w:szCs w:val="22"/>
        </w:rPr>
        <w:t>第七条　</w:t>
      </w:r>
      <w:r>
        <w:rPr>
          <w:rFonts w:hint="eastAsia" w:ascii="仿宋" w:hAnsi="仿宋" w:eastAsia="仿宋" w:cs="仿宋"/>
          <w:color w:val="auto"/>
          <w:sz w:val="32"/>
          <w:szCs w:val="22"/>
        </w:rPr>
        <w:t>违反本办法规定的有关程序、制度和规范要求的单位和个人，按照《云南中医药大学意识形态工作责任制问责办法》处理。情节严重，造成不良后果的，依照党纪党规和有关制度处理。</w:t>
      </w:r>
    </w:p>
    <w:p>
      <w:pPr>
        <w:spacing w:line="600" w:lineRule="exact"/>
        <w:ind w:firstLine="640" w:firstLineChars="200"/>
        <w:rPr>
          <w:rFonts w:hint="eastAsia" w:ascii="仿宋" w:hAnsi="仿宋" w:eastAsia="仿宋" w:cs="仿宋"/>
          <w:color w:val="auto"/>
          <w:sz w:val="32"/>
          <w:szCs w:val="22"/>
        </w:rPr>
      </w:pPr>
    </w:p>
    <w:p>
      <w:pPr>
        <w:spacing w:line="600" w:lineRule="exact"/>
        <w:ind w:firstLine="640" w:firstLineChars="200"/>
        <w:rPr>
          <w:rFonts w:hint="eastAsia" w:ascii="仿宋" w:hAnsi="仿宋" w:eastAsia="仿宋" w:cs="仿宋"/>
          <w:color w:val="auto"/>
          <w:sz w:val="32"/>
          <w:szCs w:val="22"/>
        </w:rPr>
      </w:pPr>
    </w:p>
    <w:p>
      <w:pPr>
        <w:pStyle w:val="2"/>
        <w:spacing w:line="600" w:lineRule="exact"/>
        <w:jc w:val="center"/>
        <w:rPr>
          <w:rFonts w:hint="eastAsia" w:ascii="黑体" w:hAnsi="黑体" w:cs="黑体"/>
          <w:color w:val="auto"/>
        </w:rPr>
      </w:pPr>
      <w:bookmarkStart w:id="3" w:name="_Toc19835"/>
      <w:r>
        <w:rPr>
          <w:rFonts w:hint="eastAsia" w:ascii="黑体" w:hAnsi="黑体" w:cs="黑体"/>
          <w:color w:val="auto"/>
          <w:szCs w:val="32"/>
        </w:rPr>
        <w:t>第二章 报告会、研讨会、讲座、论坛</w:t>
      </w:r>
      <w:r>
        <w:rPr>
          <w:rFonts w:hint="eastAsia" w:ascii="黑体" w:hAnsi="黑体" w:cs="黑体"/>
          <w:color w:val="auto"/>
          <w:szCs w:val="32"/>
          <w:lang w:eastAsia="zh-CN"/>
        </w:rPr>
        <w:t>的</w:t>
      </w:r>
      <w:r>
        <w:rPr>
          <w:rFonts w:hint="eastAsia" w:ascii="黑体" w:hAnsi="黑体" w:cs="黑体"/>
          <w:color w:val="auto"/>
          <w:szCs w:val="32"/>
        </w:rPr>
        <w:t>管理</w:t>
      </w:r>
      <w:bookmarkEnd w:id="3"/>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第一条</w:t>
      </w:r>
      <w:r>
        <w:rPr>
          <w:rFonts w:hint="eastAsia" w:ascii="仿宋" w:hAnsi="仿宋" w:eastAsia="仿宋" w:cs="仿宋"/>
          <w:color w:val="auto"/>
          <w:sz w:val="32"/>
          <w:szCs w:val="22"/>
        </w:rPr>
        <w:t xml:space="preserve"> 各单位、部门要切实增强政治意识、大局意识和责任意识，坚持谁主管谁负责、谁主办谁负责的原则，加强管理，严格把关，确保形势政策和哲学社会科学报告会、研讨会、讲座和论坛的正确政治导向，使其成为宣传科学理论、传播先进文化、弘扬社会正气的重要阵地。</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第二条</w:t>
      </w:r>
      <w:r>
        <w:rPr>
          <w:rFonts w:hint="eastAsia" w:ascii="仿宋" w:hAnsi="仿宋" w:eastAsia="仿宋" w:cs="仿宋"/>
          <w:color w:val="auto"/>
          <w:sz w:val="32"/>
          <w:szCs w:val="22"/>
        </w:rPr>
        <w:t xml:space="preserve"> 落实责任，完善审批程序。各单位</w:t>
      </w:r>
      <w:r>
        <w:rPr>
          <w:rFonts w:hint="eastAsia" w:ascii="仿宋" w:hAnsi="仿宋" w:eastAsia="仿宋" w:cs="仿宋"/>
          <w:color w:val="auto"/>
          <w:sz w:val="32"/>
          <w:szCs w:val="22"/>
          <w:lang w:eastAsia="zh-CN"/>
        </w:rPr>
        <w:t>、部门</w:t>
      </w:r>
      <w:r>
        <w:rPr>
          <w:rFonts w:hint="eastAsia" w:ascii="仿宋" w:hAnsi="仿宋" w:eastAsia="仿宋" w:cs="仿宋"/>
          <w:color w:val="auto"/>
          <w:sz w:val="32"/>
          <w:szCs w:val="22"/>
        </w:rPr>
        <w:t>组织形势政策教育和举办哲学社会科学报告会、研讨会、讲座、论坛等活动，必须填写登记表并提前报党委宣传部审批。主办单位必须事先对拟请报告人、讲座人的有关情况、思想政治倾向及报告会、讲座的主要内容进行</w:t>
      </w:r>
      <w:r>
        <w:rPr>
          <w:rFonts w:hint="eastAsia" w:ascii="仿宋" w:hAnsi="仿宋" w:eastAsia="仿宋" w:cs="仿宋"/>
          <w:color w:val="auto"/>
          <w:sz w:val="32"/>
          <w:szCs w:val="22"/>
          <w:lang w:eastAsia="zh-CN"/>
        </w:rPr>
        <w:t>书面备案</w:t>
      </w:r>
      <w:r>
        <w:rPr>
          <w:rFonts w:hint="eastAsia" w:ascii="仿宋" w:hAnsi="仿宋" w:eastAsia="仿宋" w:cs="仿宋"/>
          <w:color w:val="auto"/>
          <w:sz w:val="32"/>
          <w:szCs w:val="22"/>
        </w:rPr>
        <w:t>，未经上述程序不能举办。</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第三条</w:t>
      </w:r>
      <w:r>
        <w:rPr>
          <w:rFonts w:hint="eastAsia" w:ascii="仿宋" w:hAnsi="仿宋" w:eastAsia="仿宋" w:cs="仿宋"/>
          <w:color w:val="auto"/>
          <w:sz w:val="32"/>
          <w:szCs w:val="22"/>
        </w:rPr>
        <w:t xml:space="preserve"> 各学院团委、学生</w:t>
      </w:r>
      <w:r>
        <w:rPr>
          <w:rFonts w:hint="eastAsia" w:ascii="仿宋" w:hAnsi="仿宋" w:eastAsia="仿宋" w:cs="仿宋"/>
          <w:color w:val="auto"/>
          <w:sz w:val="32"/>
          <w:szCs w:val="22"/>
          <w:lang w:eastAsia="zh-CN"/>
        </w:rPr>
        <w:t>社团</w:t>
      </w:r>
      <w:r>
        <w:rPr>
          <w:rFonts w:hint="eastAsia" w:ascii="仿宋" w:hAnsi="仿宋" w:eastAsia="仿宋" w:cs="仿宋"/>
          <w:color w:val="auto"/>
          <w:sz w:val="32"/>
          <w:szCs w:val="22"/>
        </w:rPr>
        <w:t>组织的各类报告会、研讨会和讲座，由所在学院党委（党总支、直属党支部）审查；</w:t>
      </w:r>
      <w:r>
        <w:rPr>
          <w:rFonts w:hint="eastAsia" w:ascii="仿宋" w:hAnsi="仿宋" w:eastAsia="仿宋" w:cs="仿宋"/>
          <w:color w:val="auto"/>
          <w:sz w:val="32"/>
          <w:szCs w:val="22"/>
          <w:lang w:eastAsia="zh-CN"/>
        </w:rPr>
        <w:t>全校所有团学</w:t>
      </w:r>
      <w:r>
        <w:rPr>
          <w:rFonts w:hint="eastAsia" w:ascii="仿宋" w:hAnsi="仿宋" w:eastAsia="仿宋" w:cs="仿宋"/>
          <w:color w:val="auto"/>
          <w:sz w:val="32"/>
          <w:szCs w:val="22"/>
        </w:rPr>
        <w:t>组织的各类报告会、研讨会和讲座，由校团委审查。经审查同意后，将报告的主要内容、时间、地点、人员范围和报告人的情况按统一格式填写登记表，报校党委宣传部备案。</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第四条</w:t>
      </w:r>
      <w:r>
        <w:rPr>
          <w:rFonts w:hint="eastAsia" w:ascii="仿宋" w:hAnsi="仿宋" w:eastAsia="仿宋" w:cs="仿宋"/>
          <w:color w:val="auto"/>
          <w:sz w:val="32"/>
          <w:szCs w:val="22"/>
        </w:rPr>
        <w:t xml:space="preserve"> 邀请境外人员担任各类报告会、研讨会和讲座的报告人，要对宣讲内容严格把关，并报校党委宣传部审批，未经批准一律不得举办。</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第五条</w:t>
      </w:r>
      <w:r>
        <w:rPr>
          <w:rFonts w:hint="eastAsia" w:ascii="仿宋" w:hAnsi="仿宋" w:eastAsia="仿宋" w:cs="仿宋"/>
          <w:b/>
          <w:bCs/>
          <w:color w:val="auto"/>
          <w:sz w:val="32"/>
          <w:szCs w:val="22"/>
        </w:rPr>
        <w:t xml:space="preserve"> </w:t>
      </w:r>
      <w:r>
        <w:rPr>
          <w:rFonts w:hint="eastAsia" w:ascii="仿宋" w:hAnsi="仿宋" w:eastAsia="仿宋" w:cs="仿宋"/>
          <w:color w:val="auto"/>
          <w:sz w:val="32"/>
          <w:szCs w:val="22"/>
        </w:rPr>
        <w:t>我校专家学者及工作人员受外单位邀请担任形势政策、哲学社会科学报告会、研讨会、讲座、论坛的报告人，要</w:t>
      </w:r>
      <w:r>
        <w:rPr>
          <w:rFonts w:hint="eastAsia" w:ascii="仿宋" w:hAnsi="仿宋" w:eastAsia="仿宋" w:cs="仿宋"/>
          <w:color w:val="auto"/>
          <w:sz w:val="32"/>
          <w:szCs w:val="22"/>
          <w:lang w:eastAsia="zh-CN"/>
        </w:rPr>
        <w:t>事前</w:t>
      </w:r>
      <w:r>
        <w:rPr>
          <w:rFonts w:hint="eastAsia" w:ascii="仿宋" w:hAnsi="仿宋" w:eastAsia="仿宋" w:cs="仿宋"/>
          <w:color w:val="auto"/>
          <w:sz w:val="32"/>
          <w:szCs w:val="22"/>
        </w:rPr>
        <w:t>向所在单位</w:t>
      </w:r>
      <w:r>
        <w:rPr>
          <w:rFonts w:hint="eastAsia" w:ascii="仿宋" w:hAnsi="仿宋" w:eastAsia="仿宋" w:cs="仿宋"/>
          <w:color w:val="auto"/>
          <w:sz w:val="32"/>
          <w:szCs w:val="22"/>
          <w:lang w:eastAsia="zh-CN"/>
        </w:rPr>
        <w:t>、部门</w:t>
      </w:r>
      <w:r>
        <w:rPr>
          <w:rFonts w:hint="eastAsia" w:ascii="仿宋" w:hAnsi="仿宋" w:eastAsia="仿宋" w:cs="仿宋"/>
          <w:color w:val="auto"/>
          <w:sz w:val="32"/>
          <w:szCs w:val="22"/>
        </w:rPr>
        <w:t>报告。</w:t>
      </w:r>
      <w:r>
        <w:rPr>
          <w:rFonts w:hint="eastAsia" w:ascii="仿宋" w:hAnsi="仿宋" w:eastAsia="仿宋" w:cs="仿宋"/>
          <w:color w:val="auto"/>
          <w:sz w:val="32"/>
          <w:szCs w:val="22"/>
          <w:lang w:eastAsia="zh-CN"/>
        </w:rPr>
        <w:t>各</w:t>
      </w:r>
      <w:r>
        <w:rPr>
          <w:rFonts w:hint="eastAsia" w:ascii="仿宋" w:hAnsi="仿宋" w:eastAsia="仿宋" w:cs="仿宋"/>
          <w:color w:val="auto"/>
          <w:sz w:val="32"/>
          <w:szCs w:val="22"/>
        </w:rPr>
        <w:t>单位</w:t>
      </w:r>
      <w:r>
        <w:rPr>
          <w:rFonts w:hint="eastAsia" w:ascii="仿宋" w:hAnsi="仿宋" w:eastAsia="仿宋" w:cs="仿宋"/>
          <w:color w:val="auto"/>
          <w:sz w:val="32"/>
          <w:szCs w:val="22"/>
          <w:lang w:eastAsia="zh-CN"/>
        </w:rPr>
        <w:t>、部门</w:t>
      </w:r>
      <w:r>
        <w:rPr>
          <w:rFonts w:hint="eastAsia" w:ascii="仿宋" w:hAnsi="仿宋" w:eastAsia="仿宋" w:cs="仿宋"/>
          <w:color w:val="auto"/>
          <w:sz w:val="32"/>
          <w:szCs w:val="22"/>
        </w:rPr>
        <w:t>负责人对参加上述活动的人员，要提出明确的政治纪律要求，并向校党委宣传部报备。</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第六条</w:t>
      </w:r>
      <w:r>
        <w:rPr>
          <w:rFonts w:hint="eastAsia" w:ascii="仿宋" w:hAnsi="仿宋" w:eastAsia="仿宋" w:cs="仿宋"/>
          <w:color w:val="auto"/>
          <w:sz w:val="32"/>
          <w:szCs w:val="22"/>
        </w:rPr>
        <w:t xml:space="preserve"> 在审查审批过程中，主办单位要从讲政治、讲大局的高度，切实负起政治责任，加强管理，各司其职，严格程序，严格把关。对因疏于管理，造成不良政治影响的，要追究责任，严肃处理。</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第七条</w:t>
      </w:r>
      <w:r>
        <w:rPr>
          <w:rFonts w:hint="eastAsia" w:ascii="仿宋" w:hAnsi="仿宋" w:eastAsia="仿宋" w:cs="仿宋"/>
          <w:color w:val="auto"/>
          <w:sz w:val="32"/>
          <w:szCs w:val="22"/>
        </w:rPr>
        <w:t xml:space="preserve"> 主办单位要做好报告人的接待和报告会、研讨会、讲座、论坛的秩序维持、资料整理和存档工作。在报告时如发现报告人的报告内容有政治性错误观点，主办单位要及时制止，并消除不良影响，同时要向审批审查部门及时报告情况。</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第八条</w:t>
      </w:r>
      <w:r>
        <w:rPr>
          <w:rFonts w:hint="eastAsia" w:ascii="仿宋" w:hAnsi="仿宋" w:eastAsia="仿宋" w:cs="仿宋"/>
          <w:color w:val="auto"/>
          <w:sz w:val="32"/>
          <w:szCs w:val="22"/>
        </w:rPr>
        <w:t xml:space="preserve"> 经过审查的校内报告会、研讨会、讲座、论坛的内容材料原则上只限在校内传播，未经校主管部门批准同意均不得流向社会。各部门、各单位对有关形势政策和哲学社会科学报告会、研讨会、讲座、论坛的宣传报道，要坚持正确的舆论导向，注意把关。</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第九条</w:t>
      </w:r>
      <w:r>
        <w:rPr>
          <w:rFonts w:hint="eastAsia" w:ascii="仿宋" w:hAnsi="仿宋" w:eastAsia="仿宋" w:cs="仿宋"/>
          <w:color w:val="auto"/>
          <w:sz w:val="32"/>
          <w:szCs w:val="22"/>
        </w:rPr>
        <w:t xml:space="preserve"> 挂靠我校的各种学会、研究会、协会等社会团体举办形势政策和哲学社会科学报告会、研讨会、讲座、论坛等活动，参照本办法执行。</w:t>
      </w:r>
    </w:p>
    <w:p>
      <w:pPr>
        <w:spacing w:line="600" w:lineRule="exact"/>
        <w:rPr>
          <w:rFonts w:hint="eastAsia" w:ascii="仿宋" w:hAnsi="仿宋" w:eastAsia="仿宋" w:cs="仿宋"/>
          <w:color w:val="auto"/>
          <w:sz w:val="32"/>
          <w:szCs w:val="22"/>
        </w:rPr>
      </w:pPr>
    </w:p>
    <w:p>
      <w:pPr>
        <w:spacing w:line="600" w:lineRule="exact"/>
        <w:rPr>
          <w:rFonts w:hint="eastAsia" w:ascii="仿宋" w:hAnsi="仿宋" w:eastAsia="仿宋" w:cs="仿宋"/>
          <w:color w:val="auto"/>
          <w:sz w:val="32"/>
          <w:szCs w:val="22"/>
        </w:rPr>
      </w:pPr>
    </w:p>
    <w:p>
      <w:pPr>
        <w:spacing w:line="600" w:lineRule="exact"/>
        <w:rPr>
          <w:rFonts w:hint="eastAsia" w:ascii="仿宋" w:hAnsi="仿宋" w:eastAsia="仿宋" w:cs="仿宋"/>
          <w:color w:val="auto"/>
          <w:sz w:val="32"/>
          <w:szCs w:val="22"/>
        </w:rPr>
      </w:pPr>
    </w:p>
    <w:p>
      <w:pPr>
        <w:spacing w:line="600" w:lineRule="exact"/>
        <w:rPr>
          <w:rFonts w:hint="eastAsia" w:ascii="仿宋" w:hAnsi="仿宋" w:eastAsia="仿宋" w:cs="仿宋"/>
          <w:color w:val="auto"/>
          <w:sz w:val="32"/>
          <w:szCs w:val="22"/>
        </w:rPr>
      </w:pPr>
    </w:p>
    <w:p>
      <w:pPr>
        <w:spacing w:line="600" w:lineRule="exact"/>
        <w:rPr>
          <w:rFonts w:hint="eastAsia" w:ascii="仿宋" w:hAnsi="仿宋" w:eastAsia="仿宋" w:cs="仿宋"/>
          <w:color w:val="auto"/>
          <w:sz w:val="32"/>
          <w:szCs w:val="22"/>
        </w:rPr>
      </w:pPr>
    </w:p>
    <w:p>
      <w:pPr>
        <w:spacing w:line="600" w:lineRule="exact"/>
        <w:rPr>
          <w:rFonts w:hint="eastAsia" w:ascii="仿宋" w:hAnsi="仿宋" w:eastAsia="仿宋" w:cs="仿宋"/>
          <w:color w:val="auto"/>
          <w:sz w:val="32"/>
          <w:szCs w:val="22"/>
        </w:rPr>
      </w:pPr>
    </w:p>
    <w:p>
      <w:pPr>
        <w:spacing w:line="600" w:lineRule="exact"/>
        <w:rPr>
          <w:rFonts w:hint="eastAsia" w:ascii="仿宋" w:hAnsi="仿宋" w:eastAsia="仿宋" w:cs="仿宋"/>
          <w:color w:val="auto"/>
          <w:sz w:val="32"/>
          <w:szCs w:val="22"/>
        </w:rPr>
      </w:pPr>
    </w:p>
    <w:p>
      <w:pPr>
        <w:pStyle w:val="2"/>
        <w:spacing w:line="600" w:lineRule="exact"/>
        <w:jc w:val="center"/>
        <w:rPr>
          <w:rFonts w:hint="eastAsia" w:ascii="黑体" w:hAnsi="黑体" w:cs="黑体"/>
          <w:color w:val="auto"/>
          <w:szCs w:val="22"/>
        </w:rPr>
      </w:pPr>
      <w:bookmarkStart w:id="4" w:name="_Toc14441"/>
      <w:r>
        <w:rPr>
          <w:rFonts w:hint="eastAsia" w:ascii="黑体" w:hAnsi="黑体" w:cs="黑体"/>
          <w:color w:val="auto"/>
          <w:szCs w:val="32"/>
        </w:rPr>
        <w:t>第三章  电子屏、横幅、宣传栏、校园网、校报</w:t>
      </w:r>
      <w:r>
        <w:rPr>
          <w:rFonts w:hint="eastAsia" w:ascii="黑体" w:hAnsi="黑体" w:cs="黑体"/>
          <w:color w:val="auto"/>
          <w:szCs w:val="32"/>
          <w:lang w:eastAsia="zh-CN"/>
        </w:rPr>
        <w:t>、校园环境的</w:t>
      </w:r>
      <w:r>
        <w:rPr>
          <w:rFonts w:hint="eastAsia" w:ascii="黑体" w:hAnsi="黑体" w:cs="黑体"/>
          <w:color w:val="auto"/>
          <w:szCs w:val="32"/>
        </w:rPr>
        <w:t>管理</w:t>
      </w:r>
      <w:bookmarkEnd w:id="4"/>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电子屏、宣传栏与悬挂横幅要以宣传党的路线、方针、政策和教育引导学生成长成才为主要原则，坚持正确的舆论导向，坚持正面宣传，弘扬主旋律，传播正能量。发布学校和各单位重要活动、重大事件、重大节日的通知公告、庆祝和宣传标语，涉及师生工作、学习、生活等方面的服务信息等，宣传学校、各单位的各方面工作成绩，宣传积极健康的主流校园文化，展示学校和师生员工的风貌。</w:t>
      </w:r>
    </w:p>
    <w:p>
      <w:pPr>
        <w:spacing w:line="600" w:lineRule="exact"/>
        <w:ind w:firstLine="643" w:firstLineChars="200"/>
        <w:rPr>
          <w:rFonts w:hint="eastAsia" w:ascii="楷体" w:hAnsi="楷体" w:eastAsia="楷体" w:cs="楷体"/>
          <w:b/>
          <w:color w:val="auto"/>
          <w:sz w:val="32"/>
          <w:szCs w:val="22"/>
        </w:rPr>
      </w:pPr>
      <w:r>
        <w:rPr>
          <w:rFonts w:hint="eastAsia" w:ascii="楷体" w:hAnsi="楷体" w:eastAsia="楷体" w:cs="楷体"/>
          <w:b/>
          <w:color w:val="auto"/>
          <w:sz w:val="32"/>
          <w:szCs w:val="22"/>
        </w:rPr>
        <w:t>第一条  宣传栏使用规范</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1.学校现有固定、移动宣传栏由宣传部统筹管理，分配至学院等部门管理使用，各管理使用单位、部门按照宣传栏管理办法管理使用。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宣传栏的使用遵照“谁使用，谁负责”的原则，宣传栏内容旨在展示本学院（部门）风采和特色，营造良好的校园文化环境。宣传栏原则上每学期至少更新两次，开学一次，期中一次（特殊活动另行通知），更新后负责部门要注意维护，保证宣传阵地的美观。</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3.更新宣传栏后，将宣传栏图样及现场照片按照“日期+名称”命名后，打包发送至宣传部存档，宣传部每学期将评选出十佳宣传栏予以适当奖励。</w:t>
      </w:r>
    </w:p>
    <w:p>
      <w:pPr>
        <w:spacing w:line="600" w:lineRule="exact"/>
        <w:ind w:firstLine="640" w:firstLineChars="200"/>
        <w:rPr>
          <w:rFonts w:hint="default" w:ascii="仿宋" w:hAnsi="仿宋" w:eastAsia="仿宋" w:cs="仿宋"/>
          <w:color w:val="auto"/>
          <w:sz w:val="32"/>
          <w:szCs w:val="22"/>
          <w:lang w:val="en-US" w:eastAsia="zh-CN"/>
        </w:rPr>
      </w:pPr>
      <w:r>
        <w:rPr>
          <w:rFonts w:hint="eastAsia" w:ascii="仿宋" w:hAnsi="仿宋" w:eastAsia="仿宋" w:cs="仿宋"/>
          <w:color w:val="auto"/>
          <w:sz w:val="32"/>
          <w:szCs w:val="22"/>
          <w:lang w:val="en-US" w:eastAsia="zh-CN"/>
        </w:rPr>
        <w:t>4.各部门加强对宣传栏的管，发现乱贴乱画的情况要及时清理，需要维修的报宣传部。</w:t>
      </w:r>
    </w:p>
    <w:p>
      <w:pPr>
        <w:spacing w:line="600" w:lineRule="exact"/>
        <w:ind w:firstLine="643" w:firstLineChars="200"/>
        <w:rPr>
          <w:rFonts w:hint="eastAsia" w:ascii="楷体" w:hAnsi="楷体" w:eastAsia="楷体" w:cs="楷体"/>
          <w:b/>
          <w:color w:val="auto"/>
          <w:sz w:val="32"/>
          <w:szCs w:val="22"/>
        </w:rPr>
      </w:pPr>
      <w:r>
        <w:rPr>
          <w:rFonts w:hint="eastAsia" w:ascii="楷体" w:hAnsi="楷体" w:eastAsia="楷体" w:cs="楷体"/>
          <w:b/>
          <w:color w:val="auto"/>
          <w:sz w:val="32"/>
          <w:szCs w:val="22"/>
        </w:rPr>
        <w:t>第二条  电子屏、横幅设置规范</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1.室外电子屏内容发布和室外悬挂横幅审批流程：由申请单位填写《云南中医药大学电子屏、横幅使用审批表》，经单位负责人审核、盖章，报送党委宣传部审批。</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2.使用或设置时段严格按照审批时限执行，原则上不超过7天。</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3.横幅悬挂时间到期后，由使用部门自行撤除。</w:t>
      </w:r>
    </w:p>
    <w:p>
      <w:pPr>
        <w:spacing w:line="600" w:lineRule="exact"/>
        <w:ind w:firstLine="643" w:firstLineChars="200"/>
        <w:rPr>
          <w:rFonts w:hint="eastAsia" w:ascii="楷体" w:hAnsi="楷体" w:eastAsia="楷体" w:cs="楷体"/>
          <w:b/>
          <w:color w:val="auto"/>
          <w:sz w:val="32"/>
          <w:szCs w:val="22"/>
        </w:rPr>
      </w:pPr>
      <w:r>
        <w:rPr>
          <w:rFonts w:hint="eastAsia" w:ascii="楷体" w:hAnsi="楷体" w:eastAsia="楷体" w:cs="楷体"/>
          <w:b/>
          <w:color w:val="auto"/>
          <w:sz w:val="32"/>
          <w:szCs w:val="22"/>
        </w:rPr>
        <w:t>第三条  校园网新闻发布管理规范</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1.报送要求</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坚持“谁主管、谁负责”和“文责自负”原则。各单位（部门）所撰稿件内容、照片等须经本单位（部门）负责人审核，新闻涉及校领导的，由牵头部门审核(涉及重大事宜应报当事校领导审核）。将有部门签章或负责人审核签字的纸质版稿件报送至宣传部并登记，电子版传至宣传部相关工作人员。</w:t>
      </w:r>
    </w:p>
    <w:p>
      <w:pPr>
        <w:spacing w:line="600" w:lineRule="exact"/>
        <w:ind w:firstLine="640" w:firstLineChars="200"/>
        <w:rPr>
          <w:rFonts w:hint="eastAsia" w:ascii="仿宋" w:hAnsi="仿宋" w:eastAsia="仿宋" w:cs="仿宋"/>
          <w:color w:val="auto"/>
          <w:sz w:val="32"/>
          <w:szCs w:val="22"/>
          <w:lang w:eastAsia="zh-CN"/>
        </w:rPr>
      </w:pPr>
      <w:r>
        <w:rPr>
          <w:rFonts w:hint="eastAsia" w:ascii="仿宋" w:hAnsi="仿宋" w:eastAsia="仿宋" w:cs="仿宋"/>
          <w:color w:val="auto"/>
          <w:sz w:val="32"/>
          <w:szCs w:val="22"/>
        </w:rPr>
        <w:t>（2）为提高各单位（部门）报送稿件的数量和质量，增强投稿的积极性，各单位（部门）需指定一名宣传通讯员，负责本部门单位活动的采访和新闻的撰写，并与宣传部对接。</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采集及供稿：由各学院(部门)承办的一般或重大活动、重要会议的报道，由该承办学院(部门)负责新闻通稿撰写；由多个学院和部门共同承办的学校层面的一般或重大活动、重要会议的报道，由牵头学院负责新闻通稿撰写；校级重大改革、重大活动、重要会议及深度(系列)报道，宣传部负责撰写稿件。</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（4）照片要求：人物或对象清晰，分清主次布局，主题和内容对应，人像、标语等完整，体现现场感。挑选1至2张重点、相关照片，除特殊情况外不超过2张。</w:t>
      </w:r>
    </w:p>
    <w:p>
      <w:pPr>
        <w:spacing w:line="600" w:lineRule="exact"/>
        <w:ind w:firstLine="640" w:firstLineChars="200"/>
        <w:rPr>
          <w:rFonts w:hint="eastAsia" w:ascii="仿宋" w:hAnsi="仿宋" w:eastAsia="仿宋" w:cs="仿宋"/>
          <w:color w:val="auto"/>
          <w:sz w:val="32"/>
          <w:szCs w:val="22"/>
          <w:lang w:eastAsia="zh-CN"/>
        </w:rPr>
      </w:pPr>
      <w:r>
        <w:rPr>
          <w:rFonts w:hint="eastAsia" w:ascii="仿宋" w:hAnsi="仿宋" w:eastAsia="仿宋" w:cs="仿宋"/>
          <w:color w:val="auto"/>
          <w:sz w:val="32"/>
          <w:szCs w:val="22"/>
        </w:rPr>
        <w:t>（5）提交格式：将word文档与照片分开，放至同一文件夹中打包发送。照片以拍摄者姓名命名</w:t>
      </w:r>
      <w:r>
        <w:rPr>
          <w:rFonts w:hint="eastAsia" w:ascii="仿宋" w:hAnsi="仿宋" w:eastAsia="仿宋" w:cs="仿宋"/>
          <w:color w:val="auto"/>
          <w:sz w:val="32"/>
          <w:szCs w:val="22"/>
          <w:lang w:eastAsia="zh-CN"/>
        </w:rPr>
        <w:t>或是单位名称命名</w:t>
      </w:r>
      <w:r>
        <w:rPr>
          <w:rFonts w:hint="eastAsia" w:ascii="仿宋" w:hAnsi="仿宋" w:eastAsia="仿宋" w:cs="仿宋"/>
          <w:color w:val="auto"/>
          <w:sz w:val="32"/>
          <w:szCs w:val="22"/>
        </w:rPr>
        <w:t>，稿件中标示出照片插入位置。</w:t>
      </w:r>
      <w:r>
        <w:rPr>
          <w:rFonts w:hint="eastAsia" w:ascii="仿宋" w:hAnsi="仿宋" w:eastAsia="仿宋" w:cs="仿宋"/>
          <w:color w:val="auto"/>
          <w:sz w:val="32"/>
          <w:szCs w:val="22"/>
          <w:lang w:val="en-US" w:eastAsia="zh-CN"/>
        </w:rPr>
        <w:t xml:space="preserve"> </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（6）各单位（部门）拟在校园网发布的新闻稿，要在新闻事件发生后的2个工作日内</w:t>
      </w:r>
      <w:r>
        <w:rPr>
          <w:rFonts w:hint="eastAsia" w:ascii="仿宋" w:hAnsi="仿宋" w:eastAsia="仿宋" w:cs="仿宋"/>
          <w:color w:val="auto"/>
          <w:sz w:val="32"/>
          <w:szCs w:val="22"/>
          <w:lang w:eastAsia="zh-CN"/>
        </w:rPr>
        <w:t>（节假日除外）</w:t>
      </w:r>
      <w:r>
        <w:rPr>
          <w:rFonts w:hint="eastAsia" w:ascii="仿宋" w:hAnsi="仿宋" w:eastAsia="仿宋" w:cs="仿宋"/>
          <w:color w:val="auto"/>
          <w:sz w:val="32"/>
          <w:szCs w:val="22"/>
        </w:rPr>
        <w:t>报送至党委宣传部，否则不予发布。</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2.审核要求</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对记者、通讯员和各单位(部门)上传的稿件，校党委宣传部(新闻中心)根据全校中心大局和党委确定的统一宣传口径、主题（专题）和重点，全校媒体融合发展对校园网的侧重要求，及时审核，根据新闻价值作出是否采用的决定，在编辑修改后及时发布。对不具新闻价值或质量较差的稿件，不予采用发布。</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（2）新闻报道要体现贴近实际、贴近生活、贴近师生的原则，精简务实、注重实效。</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重大内容报道。重点做好涉及全校工作部署、重要政策出台或有重要导向和影响作用的会议和活动的报道。优化报道内容和结构，压缩报道数量和字数，原则上不超过1500字，确需超过字数的报分管宣传的校领导审批。</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（4）校领导校务活动报道。校领导出席会议和活动确需报道的，篇幅一般不超过 300 字；校领导赴基层调研走访活动一般不作报道，确需报道的一般不超过 200字；校领导会见活动一般不作报道，项目合作、协议签署、重要团组来访等有实质性内容的会见活动可作简要报道。</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（5）减少一般性会议报道。学校各类议事协调机构及其办公室、部门召开的会议活动原则上不作报道。报道一般不配发新闻图片，确属工作需要的，配发新闻图片不超过 1 幅。</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（6）上级领导到我校出席会议、检查指导工作，新闻报道按照上级有关规定和要求执行。</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　3.发布要求</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（1）宣传部收到新闻稿件后，按照新闻宣传工作管理制度严格审核，审核通过后及时发布(非工作日除外）。</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（2）部门报送稿件发布后发现有错误要修改的，需在修改处加盖部门签章，指明修改原因，报送至宣传部方可修改。</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（3）校园网主页栏目“云中新闻”发布</w:t>
      </w:r>
      <w:r>
        <w:rPr>
          <w:rFonts w:hint="eastAsia" w:ascii="仿宋" w:hAnsi="仿宋" w:eastAsia="仿宋" w:cs="仿宋"/>
          <w:color w:val="auto"/>
          <w:sz w:val="32"/>
          <w:szCs w:val="22"/>
          <w:lang w:eastAsia="zh-CN"/>
        </w:rPr>
        <w:t>内容</w:t>
      </w:r>
      <w:r>
        <w:rPr>
          <w:rFonts w:hint="eastAsia" w:ascii="仿宋" w:hAnsi="仿宋" w:eastAsia="仿宋" w:cs="仿宋"/>
          <w:color w:val="auto"/>
          <w:sz w:val="32"/>
          <w:szCs w:val="22"/>
        </w:rPr>
        <w:t>涉及校领导、全校重大会议和活动；党的建设、教学、科研、人事、学生工作、后勤、保卫等各方面的重大事项或进展；重要的对外交流合作；重要的奖励、表彰、典型人物和事件；重要创新活动；各部门工作中具有全校影响的示范性事件；彰显学校特色的重要事件等。</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（4）校园网主页栏目“院部风采”发布各部门、学院特色活动，各学院、部门召开的日常会议活动不予发布。</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（5）校园网主页栏目“教学与科研”发布学校相关学术会议、院部教学方面示范性事件等。</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（6）校园网主页栏目“法治与安全”发布涉及法律、校园安全等内容的活动及会议。</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22"/>
        </w:rPr>
        <w:t>4.新闻稿件内容及撰写要求</w:t>
      </w:r>
      <w:r>
        <w:rPr>
          <w:rFonts w:hint="eastAsia" w:ascii="仿宋" w:hAnsi="仿宋" w:eastAsia="仿宋" w:cs="仿宋"/>
          <w:color w:val="auto"/>
          <w:sz w:val="32"/>
          <w:szCs w:val="22"/>
          <w:lang w:val="en-US" w:eastAsia="zh-CN"/>
        </w:rPr>
        <w:t xml:space="preserve"> </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（1）新闻的标题用一行式主标题，标题完整、生动、精练、能够体现新闻主旨，字数20字以内。</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（2）导语简明扼要，体现新闻基本要素：时间、地点、人物、事件、缘由、过程。除非特别需要外，时间要素只写几月几日，不写年、几点几分。活动地点只写到办公楼会议室、某学院会议室等。</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（3）新闻叙述采取第三人称，行文中忌用“我院”、“我中心”、“我处”等指代关系含混的字词，上述指代关系对应改为“我校”、“我校××学院（部、处）”。</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（4）校内新闻涉及领导讲话的，避免使用“重要讲话”、“指示”等字眼，改用“表示”、“强调”、“指出”等。</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（5）报道校领导活动类的，不使用“亲自”、“亲临”等词，报道校领导接待类的，用“会见”替代“接见”的表述。 </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（6）涉及全校性重要活动和工作的新闻，出现人物姓名到校级领导为止。专项工作新闻可酌情出现相关部门负责人正职或关系重要的人物姓名。</w:t>
      </w:r>
    </w:p>
    <w:p>
      <w:pPr>
        <w:spacing w:line="600" w:lineRule="exact"/>
        <w:rPr>
          <w:rFonts w:hint="eastAsia" w:ascii="仿宋" w:hAnsi="仿宋" w:eastAsia="仿宋" w:cs="仿宋"/>
          <w:color w:val="auto"/>
          <w:sz w:val="32"/>
          <w:szCs w:val="32"/>
        </w:rPr>
      </w:pPr>
      <w:r>
        <w:rPr>
          <w:rFonts w:hint="eastAsia" w:ascii="仿宋" w:hAnsi="仿宋" w:eastAsia="仿宋" w:cs="仿宋"/>
          <w:color w:val="auto"/>
          <w:sz w:val="32"/>
          <w:szCs w:val="32"/>
        </w:rPr>
        <w:t>　　（7）规范职务称谓：</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1）新闻采取“职务称谓 + 姓名”的方式，如“校党委书记××、校长××、校党委副书记××、校纪委书记××、副校长××、××处（部）处长（部长）××、××院院长××”等，避免“姓名 + 职务称谓”和“姓 + 职务称谓”的方式；</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2）特定事件涉及某人物两个职务称谓时，使用“主职务称谓 + 兼职务称谓 + 姓名”的方式；</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3）对于学术会议确需体现人物学术身份时采用“职务称谓 + 姓名 + 职称称谓”的方式；</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4）军界人士姓名后可加“将军”、“少将”、“大校”等；</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5）不在姓名后加“同志”称呼；</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6）需提及职务的应在文稿首次出现时提及，其后再出现时直称人名；</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7）多位校领导参与的活动，称谓排序要准确。</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8）新闻稿内容不出现“一、二、三、……”，要用“一是；二是；三是……”、“一要；二要；三要……”。</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9）消息报道以客观事实报道为主，不加感想与评论，不使用“普遍”、“一致”、“最佳”、“最好”、“最著名”、“极大”等带有强烈、主观评价的色彩的词汇，如“同学们一致表示如何如何”此类语句应删除。</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10）来稿须注明通讯员姓名、审核领导姓名，无署名稿件一律不予发布。（具体格式要求见格式示范）</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11）各单位（部门）来稿必须把文字和照片文件分开上传（不得插在word文档中）。新闻照片要求新闻要素清晰、人物形象好、色彩纯正、曝光适度，避免摆拍。照片文件以JPG格式上传。除学校重大活动外，新闻只放置1-2张照片。</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12）消息字数在600字以内，重大新闻不超过1500字。</w:t>
      </w:r>
    </w:p>
    <w:p>
      <w:pPr>
        <w:spacing w:line="600" w:lineRule="exact"/>
        <w:ind w:firstLine="643" w:firstLineChars="200"/>
        <w:rPr>
          <w:rFonts w:hint="eastAsia" w:ascii="宋体" w:hAnsi="宋体" w:cs="宋体"/>
          <w:b/>
          <w:bCs/>
          <w:color w:val="auto"/>
          <w:sz w:val="28"/>
          <w:szCs w:val="28"/>
        </w:rPr>
      </w:pPr>
      <w:r>
        <w:rPr>
          <w:rFonts w:hint="eastAsia" w:ascii="仿宋" w:hAnsi="仿宋" w:eastAsia="仿宋" w:cs="仿宋"/>
          <w:b/>
          <w:bCs/>
          <w:color w:val="auto"/>
          <w:sz w:val="32"/>
          <w:szCs w:val="22"/>
        </w:rPr>
        <w:t>5.校园网新闻发布格式示范（以新闻简讯为例）</w:t>
      </w:r>
    </w:p>
    <w:p>
      <w:pPr>
        <w:spacing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【通讯稿格式】   题目：黑体，小二 居中</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云中讯（通讯员XXX）正文：何时、何地、何事、何人。（宋体4号，段落：单倍行距，两端对齐，首行缩进2字符）XXXXXXXXXXXXXXXXXXXXXXXXXXXXXXXXXXXXXXXXXXXXXX</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具体活动亮点。</w:t>
      </w:r>
    </w:p>
    <w:p>
      <w:pPr>
        <w:spacing w:line="600" w:lineRule="exact"/>
        <w:ind w:firstLine="643" w:firstLineChars="200"/>
        <w:rPr>
          <w:rFonts w:hint="eastAsia" w:ascii="楷体" w:hAnsi="楷体" w:eastAsia="楷体" w:cs="楷体"/>
          <w:b/>
          <w:color w:val="auto"/>
          <w:sz w:val="32"/>
          <w:szCs w:val="22"/>
        </w:rPr>
      </w:pPr>
    </w:p>
    <w:p>
      <w:pPr>
        <w:spacing w:line="600" w:lineRule="exact"/>
        <w:ind w:firstLine="643" w:firstLineChars="200"/>
        <w:rPr>
          <w:rFonts w:hint="eastAsia" w:ascii="楷体" w:hAnsi="楷体" w:eastAsia="楷体" w:cs="楷体"/>
          <w:b/>
          <w:color w:val="auto"/>
          <w:sz w:val="32"/>
          <w:szCs w:val="22"/>
        </w:rPr>
      </w:pPr>
      <w:r>
        <w:rPr>
          <w:rFonts w:hint="eastAsia" w:ascii="楷体" w:hAnsi="楷体" w:eastAsia="楷体" w:cs="楷体"/>
          <w:b/>
          <w:color w:val="auto"/>
          <w:sz w:val="32"/>
          <w:szCs w:val="22"/>
        </w:rPr>
        <w:t>第四条  校报工作规范</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1.办报原则</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坚持正确舆论导向，严格落实意识形态工作主体责任和政治家办报要求。</w:t>
      </w:r>
      <w:r>
        <w:rPr>
          <w:rFonts w:hint="eastAsia" w:ascii="仿宋" w:hAnsi="仿宋" w:eastAsia="仿宋" w:cs="仿宋"/>
          <w:color w:val="auto"/>
          <w:sz w:val="32"/>
          <w:szCs w:val="32"/>
          <w:u w:val="none"/>
        </w:rPr>
        <w:t>按照全校媒体融合发展要求，侧重于围绕中心大局，对改革发展作深度图文报道。严格</w:t>
      </w:r>
      <w:r>
        <w:rPr>
          <w:rFonts w:hint="eastAsia" w:ascii="仿宋" w:hAnsi="仿宋" w:eastAsia="仿宋" w:cs="仿宋"/>
          <w:color w:val="auto"/>
          <w:sz w:val="32"/>
          <w:szCs w:val="32"/>
        </w:rPr>
        <w:t>执行“三审三校”制度，始终坚持把</w:t>
      </w:r>
      <w:r>
        <w:rPr>
          <w:rFonts w:hint="eastAsia" w:ascii="仿宋" w:hAnsi="仿宋" w:eastAsia="仿宋" w:cs="仿宋"/>
          <w:color w:val="auto"/>
          <w:sz w:val="32"/>
          <w:szCs w:val="32"/>
          <w:lang w:eastAsia="zh-CN"/>
        </w:rPr>
        <w:t>政治要求</w:t>
      </w:r>
      <w:r>
        <w:rPr>
          <w:rFonts w:hint="eastAsia" w:ascii="仿宋" w:hAnsi="仿宋" w:eastAsia="仿宋" w:cs="仿宋"/>
          <w:color w:val="auto"/>
          <w:sz w:val="32"/>
          <w:szCs w:val="32"/>
        </w:rPr>
        <w:t>放在第一位</w:t>
      </w:r>
      <w:r>
        <w:rPr>
          <w:rFonts w:hint="eastAsia" w:ascii="仿宋" w:hAnsi="仿宋" w:eastAsia="仿宋" w:cs="仿宋"/>
          <w:color w:val="auto"/>
          <w:sz w:val="32"/>
          <w:szCs w:val="32"/>
          <w:lang w:eastAsia="zh-CN"/>
        </w:rPr>
        <w:t>，不能违反任何政治纪律和规矩</w:t>
      </w:r>
      <w:r>
        <w:rPr>
          <w:rFonts w:hint="eastAsia" w:ascii="仿宋" w:hAnsi="仿宋" w:eastAsia="仿宋" w:cs="仿宋"/>
          <w:color w:val="auto"/>
          <w:sz w:val="32"/>
          <w:szCs w:val="32"/>
        </w:rPr>
        <w:t>。本着对社会和读者高度负责的态度，树立质量观念，强化精品意识，践行工匠精神。</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全面落实“三审”制度,严格实行新闻稿件审核的责任编辑制度和新闻稿件刊发的总编辑负责制度，明确采编刊播流程各环节的审稿职责。</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2.办报流程</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（1）征稿。</w:t>
      </w:r>
      <w:r>
        <w:rPr>
          <w:rFonts w:hint="eastAsia" w:ascii="仿宋" w:hAnsi="仿宋" w:eastAsia="仿宋" w:cs="仿宋"/>
          <w:color w:val="auto"/>
          <w:sz w:val="32"/>
          <w:szCs w:val="32"/>
          <w:u w:val="none"/>
        </w:rPr>
        <w:t>校报一、二版为围绕全校中心大局的重要内容，在重点选题和内容上与校园网各有侧重</w:t>
      </w:r>
      <w:r>
        <w:rPr>
          <w:rFonts w:hint="eastAsia" w:ascii="仿宋" w:hAnsi="仿宋" w:eastAsia="仿宋" w:cs="仿宋"/>
          <w:color w:val="auto"/>
          <w:sz w:val="32"/>
          <w:szCs w:val="32"/>
        </w:rPr>
        <w:t>。第三版为党和国家相关政策要闻，第四版为</w:t>
      </w:r>
      <w:r>
        <w:rPr>
          <w:rFonts w:hint="eastAsia" w:ascii="仿宋" w:hAnsi="仿宋" w:eastAsia="仿宋" w:cs="仿宋"/>
          <w:color w:val="auto"/>
          <w:sz w:val="32"/>
          <w:szCs w:val="32"/>
          <w:lang w:eastAsia="zh-CN"/>
        </w:rPr>
        <w:t>师生</w:t>
      </w:r>
      <w:r>
        <w:rPr>
          <w:rFonts w:hint="eastAsia" w:ascii="仿宋" w:hAnsi="仿宋" w:eastAsia="仿宋" w:cs="仿宋"/>
          <w:color w:val="auto"/>
          <w:sz w:val="32"/>
          <w:szCs w:val="32"/>
        </w:rPr>
        <w:t>投稿，每月设置投稿主题，由记者站负责发布征稿信息，全校范围内征集稿件。</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（2）编辑组稿。由校报编辑对当月稿件进行选择与筛查，相关稿件整合，设计排版。</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（3）编辑审稿。报纸初排后由总编辑进行相关内容审核。</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（4）校对。稿件形成后，由2-3名同学进行报纸初次校对，由校报编辑进行二校，最后报总编辑三校定稿。</w:t>
      </w:r>
    </w:p>
    <w:p>
      <w:pPr>
        <w:spacing w:line="600" w:lineRule="exact"/>
        <w:ind w:firstLine="640" w:firstLineChars="200"/>
        <w:rPr>
          <w:rFonts w:hint="eastAsia" w:ascii="黑体" w:hAnsi="黑体" w:cs="黑体"/>
          <w:color w:val="auto"/>
          <w:szCs w:val="32"/>
        </w:rPr>
      </w:pPr>
      <w:r>
        <w:rPr>
          <w:rFonts w:hint="eastAsia" w:ascii="仿宋" w:hAnsi="仿宋" w:eastAsia="仿宋" w:cs="仿宋"/>
          <w:color w:val="auto"/>
          <w:sz w:val="32"/>
          <w:szCs w:val="32"/>
        </w:rPr>
        <w:t>（5）出版。由云南报业传媒(集团)有限责任公司印制出版，由党委宣传部分发至各学院、部门。</w:t>
      </w:r>
      <w:bookmarkStart w:id="5" w:name="_Toc30770"/>
    </w:p>
    <w:p>
      <w:pPr>
        <w:pStyle w:val="2"/>
        <w:spacing w:line="600" w:lineRule="exact"/>
        <w:jc w:val="center"/>
        <w:rPr>
          <w:rFonts w:hint="eastAsia" w:ascii="黑体" w:hAnsi="黑体" w:cs="黑体"/>
          <w:color w:val="auto"/>
          <w:szCs w:val="22"/>
        </w:rPr>
      </w:pPr>
      <w:r>
        <w:rPr>
          <w:rFonts w:hint="eastAsia" w:ascii="黑体" w:hAnsi="黑体" w:cs="黑体"/>
          <w:color w:val="auto"/>
          <w:szCs w:val="32"/>
        </w:rPr>
        <w:t>第四章 校园广播站</w:t>
      </w:r>
      <w:r>
        <w:rPr>
          <w:rFonts w:hint="eastAsia" w:ascii="黑体" w:hAnsi="黑体" w:cs="黑体"/>
          <w:color w:val="auto"/>
          <w:szCs w:val="32"/>
          <w:lang w:eastAsia="zh-CN"/>
        </w:rPr>
        <w:t>的</w:t>
      </w:r>
      <w:r>
        <w:rPr>
          <w:rFonts w:hint="eastAsia" w:ascii="黑体" w:hAnsi="黑体" w:cs="黑体"/>
          <w:color w:val="auto"/>
          <w:szCs w:val="32"/>
        </w:rPr>
        <w:t>管理</w:t>
      </w:r>
      <w:bookmarkEnd w:id="5"/>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第一条</w:t>
      </w:r>
      <w:r>
        <w:rPr>
          <w:rFonts w:hint="eastAsia" w:ascii="仿宋" w:hAnsi="仿宋" w:eastAsia="仿宋" w:cs="仿宋"/>
          <w:color w:val="auto"/>
          <w:sz w:val="32"/>
          <w:szCs w:val="22"/>
        </w:rPr>
        <w:t xml:space="preserve"> 为加强校园广播站的管理，发展广播事业，宣传党的路线、方针和政策，促进校园精神文明和校园文化建设，把广播站建设成为一个思想好、作风硬、素质好、能力强、富有凝聚力、战斗力的集体，特制定本章程。</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第二条</w:t>
      </w:r>
      <w:r>
        <w:rPr>
          <w:rFonts w:hint="eastAsia" w:ascii="仿宋" w:hAnsi="仿宋" w:eastAsia="仿宋" w:cs="仿宋"/>
          <w:color w:val="auto"/>
          <w:sz w:val="32"/>
          <w:szCs w:val="22"/>
        </w:rPr>
        <w:t xml:space="preserve"> 广播站是我校开展素质教育的一个窗口，是学校精神文明建设的宣传阵地，站内负责老师应由党委宣传部负责人负责，在宣传部负责人的管理、指导下进行各项工作。</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第三条</w:t>
      </w:r>
      <w:r>
        <w:rPr>
          <w:rFonts w:hint="eastAsia" w:ascii="仿宋" w:hAnsi="仿宋" w:eastAsia="仿宋" w:cs="仿宋"/>
          <w:color w:val="auto"/>
          <w:sz w:val="32"/>
          <w:szCs w:val="22"/>
        </w:rPr>
        <w:t xml:space="preserve"> 广播站是学校重要的宣传阵地，集知识性、趣味性、娱乐性为一体丰富校园文化，使校园师生及时了解实时动态，增长学生知识，开阔视野。每天播音范围如下：</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1.及时报道国内外重大新闻事件；</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2.宣传党和国家的方针、政策、法律、法规；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3.表彰校园内外好人好事和先进事迹。</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第四条</w:t>
      </w:r>
      <w:r>
        <w:rPr>
          <w:rFonts w:hint="eastAsia" w:ascii="仿宋" w:hAnsi="仿宋" w:eastAsia="仿宋" w:cs="仿宋"/>
          <w:color w:val="auto"/>
          <w:sz w:val="32"/>
          <w:szCs w:val="22"/>
        </w:rPr>
        <w:t xml:space="preserve"> 为加强广播站组织建设，提高干事思想政治素质和理论水平，广播站定期开展理论及技术培训，由宣传部负责人负责培训的组织和管理，正副站长负责培训干事。</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第五条</w:t>
      </w:r>
      <w:r>
        <w:rPr>
          <w:rFonts w:hint="eastAsia" w:ascii="仿宋" w:hAnsi="仿宋" w:eastAsia="仿宋" w:cs="仿宋"/>
          <w:color w:val="auto"/>
          <w:sz w:val="32"/>
          <w:szCs w:val="22"/>
        </w:rPr>
        <w:t xml:space="preserve"> 广播站定期通过问卷调查和信息反馈等形式征询广大师生的意见、建议和要求不断改进工作，努力提高工作的实际效果。</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第六条</w:t>
      </w:r>
      <w:r>
        <w:rPr>
          <w:rFonts w:hint="eastAsia" w:ascii="仿宋" w:hAnsi="仿宋" w:eastAsia="仿宋" w:cs="仿宋"/>
          <w:color w:val="auto"/>
          <w:sz w:val="32"/>
          <w:szCs w:val="22"/>
        </w:rPr>
        <w:t xml:space="preserve"> 广播站以节目制作和播出为工作中心，坚持以科学的理论武装人，以正确的舆论引导人，以高尚的精神塑造人，以优秀的作品鼓舞人，节目制作定位在校园文化建设和校园与社会之间的信息链接。</w:t>
      </w:r>
    </w:p>
    <w:p>
      <w:pPr>
        <w:spacing w:line="600" w:lineRule="exact"/>
        <w:ind w:firstLine="640" w:firstLineChars="200"/>
        <w:rPr>
          <w:rFonts w:hint="eastAsia" w:ascii="仿宋" w:hAnsi="仿宋" w:eastAsia="仿宋" w:cs="仿宋"/>
          <w:color w:val="auto"/>
          <w:sz w:val="32"/>
          <w:szCs w:val="22"/>
        </w:rPr>
      </w:pPr>
      <w:r>
        <w:rPr>
          <w:rFonts w:hint="eastAsia" w:ascii="楷体" w:hAnsi="楷体" w:eastAsia="楷体" w:cs="楷体"/>
          <w:color w:val="auto"/>
          <w:sz w:val="32"/>
          <w:szCs w:val="22"/>
        </w:rPr>
        <w:t>第七条</w:t>
      </w:r>
      <w:r>
        <w:rPr>
          <w:rFonts w:hint="eastAsia" w:ascii="仿宋" w:hAnsi="仿宋" w:eastAsia="仿宋" w:cs="仿宋"/>
          <w:color w:val="auto"/>
          <w:sz w:val="32"/>
          <w:szCs w:val="22"/>
        </w:rPr>
        <w:t xml:space="preserve"> 广播站应该提高节目质量，努力做出贴近校园、贴近同学的高品位的校园广播节目，禁止制作播出有下列内容的节目：</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1.违反宪法所规定的基本原则的；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2.危害国家安全，泄露国家秘密，颠覆国家政权，破坏国家统一，损害国家荣誉和利益的；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3.煽动民族仇恨，民族歧视，破坏民族团结的；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4.破坏国家宗教政策，宣扬邪教和封建迷信的；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5.散布谣言，编发假新闻，扰乱社会秩序，破坏社会稳定的；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6.散布淫乱、赌博、暴力、凶杀、恐怖或教唆犯罪的；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7.侮辱或诽谤他人，侵害他人合法权益的；</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8.有违于学校积极向上的主流文化，对同学人生观、世界观、价值观造成误导的。</w:t>
      </w:r>
    </w:p>
    <w:p>
      <w:pPr>
        <w:spacing w:line="600" w:lineRule="exact"/>
        <w:ind w:firstLine="640" w:firstLineChars="200"/>
        <w:rPr>
          <w:rFonts w:hint="eastAsia" w:ascii="仿宋" w:hAnsi="仿宋" w:eastAsia="仿宋" w:cs="仿宋"/>
          <w:color w:val="auto"/>
          <w:sz w:val="32"/>
          <w:szCs w:val="22"/>
        </w:rPr>
      </w:pPr>
    </w:p>
    <w:p>
      <w:pPr>
        <w:spacing w:line="600" w:lineRule="exact"/>
        <w:jc w:val="center"/>
        <w:rPr>
          <w:rFonts w:hint="eastAsia" w:ascii="黑体" w:hAnsi="黑体" w:eastAsia="黑体" w:cs="黑体"/>
          <w:bCs/>
          <w:color w:val="auto"/>
          <w:kern w:val="44"/>
          <w:sz w:val="32"/>
          <w:szCs w:val="32"/>
        </w:rPr>
      </w:pPr>
      <w:r>
        <w:rPr>
          <w:rFonts w:hint="eastAsia" w:ascii="黑体" w:hAnsi="黑体" w:eastAsia="黑体" w:cs="黑体"/>
          <w:bCs/>
          <w:color w:val="auto"/>
          <w:kern w:val="44"/>
          <w:sz w:val="32"/>
          <w:szCs w:val="32"/>
        </w:rPr>
        <w:t>第五章 云南中医药大学融媒体联盟</w:t>
      </w:r>
      <w:r>
        <w:rPr>
          <w:rFonts w:hint="eastAsia" w:ascii="黑体" w:hAnsi="黑体" w:eastAsia="黑体" w:cs="黑体"/>
          <w:bCs/>
          <w:color w:val="auto"/>
          <w:kern w:val="44"/>
          <w:sz w:val="32"/>
          <w:szCs w:val="32"/>
          <w:lang w:eastAsia="zh-CN"/>
        </w:rPr>
        <w:t>的运行</w:t>
      </w:r>
      <w:r>
        <w:rPr>
          <w:rFonts w:hint="eastAsia" w:ascii="黑体" w:hAnsi="黑体" w:eastAsia="黑体" w:cs="黑体"/>
          <w:bCs/>
          <w:color w:val="auto"/>
          <w:kern w:val="44"/>
          <w:sz w:val="32"/>
          <w:szCs w:val="32"/>
        </w:rPr>
        <w:t>管理</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 xml:space="preserve">云南中医药大学融媒体联盟是校内各单位、部门和社会媒体单位以及学生组织共同发起成立的融媒体建设经验交流和信息资源共享平台，其宗旨是致力于加强校内各新媒体平台之间的交流互动，实现校园传统媒体与新媒体、自媒体的有效联动、聚合传播，畅通校园媒体资源整合与服务信息共享的机制和渠道，不断提升新媒体的传播力，共同促进学校融媒体的健康发展。 </w:t>
      </w:r>
    </w:p>
    <w:p>
      <w:pPr>
        <w:spacing w:line="600" w:lineRule="exact"/>
        <w:jc w:val="center"/>
        <w:rPr>
          <w:rFonts w:hint="eastAsia" w:ascii="楷体_GB2312" w:hAnsi="楷体_GB2312" w:eastAsia="楷体_GB2312" w:cs="楷体_GB2312"/>
          <w:b/>
          <w:color w:val="auto"/>
          <w:sz w:val="32"/>
          <w:szCs w:val="22"/>
        </w:rPr>
      </w:pPr>
      <w:r>
        <w:rPr>
          <w:rFonts w:hint="eastAsia" w:ascii="楷体_GB2312" w:hAnsi="楷体_GB2312" w:eastAsia="楷体_GB2312" w:cs="楷体_GB2312"/>
          <w:b/>
          <w:color w:val="auto"/>
          <w:sz w:val="32"/>
          <w:szCs w:val="22"/>
        </w:rPr>
        <w:t>第一部分</w:t>
      </w:r>
      <w:r>
        <w:rPr>
          <w:rFonts w:hint="eastAsia" w:ascii="楷体_GB2312" w:hAnsi="楷体_GB2312" w:eastAsia="楷体_GB2312" w:cs="楷体_GB2312"/>
          <w:b/>
          <w:color w:val="auto"/>
          <w:sz w:val="32"/>
          <w:szCs w:val="22"/>
          <w:lang w:val="en-US" w:eastAsia="zh-CN"/>
        </w:rPr>
        <w:t xml:space="preserve">  </w:t>
      </w:r>
      <w:r>
        <w:rPr>
          <w:rFonts w:hint="eastAsia" w:ascii="楷体_GB2312" w:hAnsi="楷体_GB2312" w:eastAsia="楷体_GB2312" w:cs="楷体_GB2312"/>
          <w:b/>
          <w:color w:val="auto"/>
          <w:sz w:val="32"/>
          <w:szCs w:val="22"/>
        </w:rPr>
        <w:t>总则</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第一条</w:t>
      </w:r>
      <w:r>
        <w:rPr>
          <w:rFonts w:hint="eastAsia" w:ascii="仿宋" w:hAnsi="仿宋" w:eastAsia="仿宋" w:cs="仿宋"/>
          <w:color w:val="auto"/>
          <w:sz w:val="32"/>
          <w:szCs w:val="22"/>
        </w:rPr>
        <w:t xml:space="preserve"> 传统媒体指报刊、广播、电视，新媒体是指校内各单位、部门及其下属机构和师生团体在微博、微信、今日头条、QQ公众平台等网络平台注册的公众号，在百度贴吧、新闻网站、视频网站等网络平台注册的帐号，以及开发和使用的各种移动客户端等。</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第二条　</w:t>
      </w:r>
      <w:r>
        <w:rPr>
          <w:rFonts w:hint="eastAsia" w:ascii="仿宋" w:hAnsi="仿宋" w:eastAsia="仿宋" w:cs="仿宋"/>
          <w:color w:val="auto"/>
          <w:sz w:val="32"/>
          <w:szCs w:val="22"/>
        </w:rPr>
        <w:t>融媒体联盟是学校思想政治教育的重要阵地，是新形势下加强和改进宣传思想工作、推进新媒体建设管理和媒体融合发展的重要途径。云南中医药大学融媒体联盟要坚持在学校党委的领导下，紧紧围绕“立德树人”这一根本任务，传播好云中正能量、凝聚好云中共识、汇聚好云中力量。</w:t>
      </w:r>
    </w:p>
    <w:p>
      <w:pPr>
        <w:spacing w:line="600" w:lineRule="exact"/>
        <w:jc w:val="center"/>
        <w:rPr>
          <w:rFonts w:hint="eastAsia" w:ascii="楷体_GB2312" w:hAnsi="楷体_GB2312" w:eastAsia="楷体_GB2312" w:cs="楷体_GB2312"/>
          <w:b/>
          <w:color w:val="auto"/>
          <w:sz w:val="32"/>
          <w:szCs w:val="22"/>
        </w:rPr>
      </w:pPr>
      <w:r>
        <w:rPr>
          <w:rFonts w:hint="eastAsia" w:ascii="楷体_GB2312" w:hAnsi="楷体_GB2312" w:eastAsia="楷体_GB2312" w:cs="楷体_GB2312"/>
          <w:b/>
          <w:color w:val="auto"/>
          <w:sz w:val="32"/>
          <w:szCs w:val="22"/>
        </w:rPr>
        <w:t>第二部分  组织机构</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第三条</w:t>
      </w:r>
      <w:r>
        <w:rPr>
          <w:rFonts w:hint="eastAsia" w:ascii="仿宋" w:hAnsi="仿宋" w:eastAsia="仿宋" w:cs="仿宋"/>
          <w:color w:val="auto"/>
          <w:sz w:val="32"/>
          <w:szCs w:val="22"/>
        </w:rPr>
        <w:t xml:space="preserve"> 云南中医药大学融媒体联盟组织机构设置为：联盟会员代表大会、理事会和秘书处。融媒体联盟的最高权力机构是联盟会员代表大会；理事会是联盟会员大会闭会期间的执行机构；秘书处是理事会的日常办事机构。理事会由融媒体联盟大会选举产生，每届任期4年，换届时由全体成员选举产生。联合发起单位自动成为首届理事会成员；理事会设理事长1名,副理事长若干名，秘书长1名。首届理事长由分管宣传思想工作校领导担任。</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理事会会议包括理事会年会和理事会临时会议，由理事长或其委托的副理事长或秘书长召集。理事会年会每年定期召开；在理事会年会闭会期间，遇有重大或紧急情况，经理事长或受理事长委托的副理事长或秘书长提议，半数以上理事会成员同意，可以召开理事会临时会议。</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理事会会议须有半数以上理事出席方能召开，其决议须经到会理事三分之二以上表决通过方能生效。</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理事会成员职责：</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1.遵守云南中医药大学融媒体联盟理事会章程；</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2.对云南中医药大学融媒体联盟理事会服务方案及年度工作计划发表建议，对理事会举办的交流活动积极响应及参与；</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3.维护云南中医药大学融媒体联盟的声誉，树立云南中医药大学融媒体联盟的形象，宣传云南中医药大学融媒体联盟在业内和社会中的影响与作用；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4.积极承担并努力完成云南中医药大学融媒体联盟委托的任务；</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5.积极参加云南中医药大学融媒体联盟组织的各项活动，反映各方面的意见和建议；</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 xml:space="preserve">第四条 </w:t>
      </w:r>
      <w:r>
        <w:rPr>
          <w:rFonts w:hint="eastAsia" w:ascii="仿宋" w:hAnsi="仿宋" w:eastAsia="仿宋" w:cs="仿宋"/>
          <w:color w:val="auto"/>
          <w:sz w:val="32"/>
          <w:szCs w:val="22"/>
        </w:rPr>
        <w:t>云南中医药大学融媒体联盟秘书处设在校党委宣传部，为融媒体联盟的日常事务处理与联络机构，负责联盟的日常联络沟通和统筹协调工作，组织开展培训交流活动。每个联盟成员单位要安排1人担任联络员，与秘书处保持工作联系。</w:t>
      </w:r>
    </w:p>
    <w:p>
      <w:pPr>
        <w:spacing w:line="600" w:lineRule="exact"/>
        <w:jc w:val="center"/>
        <w:rPr>
          <w:rFonts w:hint="eastAsia" w:ascii="楷体_GB2312" w:hAnsi="楷体_GB2312" w:eastAsia="楷体_GB2312" w:cs="楷体_GB2312"/>
          <w:b/>
          <w:color w:val="auto"/>
          <w:sz w:val="32"/>
          <w:szCs w:val="22"/>
        </w:rPr>
      </w:pPr>
      <w:r>
        <w:rPr>
          <w:rFonts w:hint="eastAsia" w:ascii="楷体_GB2312" w:hAnsi="楷体_GB2312" w:eastAsia="楷体_GB2312" w:cs="楷体_GB2312"/>
          <w:b/>
          <w:color w:val="auto"/>
          <w:sz w:val="32"/>
          <w:szCs w:val="22"/>
        </w:rPr>
        <w:t>第三部分 工作内容</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第五条</w:t>
      </w:r>
      <w:r>
        <w:rPr>
          <w:rFonts w:hint="eastAsia" w:ascii="仿宋" w:hAnsi="仿宋" w:eastAsia="仿宋" w:cs="仿宋"/>
          <w:color w:val="auto"/>
          <w:sz w:val="32"/>
          <w:szCs w:val="22"/>
        </w:rPr>
        <w:t xml:space="preserve"> 融媒体联盟工作原则： </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 xml:space="preserve">（一）坚持主动公开，及时发布学校教育改革发展的重要政策、重大成果和工作动态。 </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 xml:space="preserve">（二）坚持迅速回应，紧紧围绕突发事件和公众关注的热点问题，及时发布真实、准确、权威信息。 </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 xml:space="preserve">（三）坚持协同互助，紧密围绕学校重点工作和服务师生校友，统筹协调联盟成员媒体，开展多向互动，做好主动宣传和舆情应对工作。 </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第六条</w:t>
      </w:r>
      <w:r>
        <w:rPr>
          <w:rFonts w:hint="eastAsia" w:ascii="仿宋" w:hAnsi="仿宋" w:eastAsia="仿宋" w:cs="仿宋"/>
          <w:color w:val="auto"/>
          <w:sz w:val="32"/>
          <w:szCs w:val="22"/>
        </w:rPr>
        <w:t xml:space="preserve"> 融媒体联盟的主要任务： </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 xml:space="preserve">（一）联动做好信息发布。学校官方媒体推出的重要宣传活动，联盟成员媒体要积极参与、转发和评论。联盟成员媒体如有重要信息需要宣传推广，可向学校官方融媒体联盟秘书处提出申请，申请批准后，可以获得官微和学校融媒体联盟的推广支持。 </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二）联动做好舆情应对。联盟成员媒体要充分运用微博、微信、等新媒体平台进行信息发布和舆情处置。重大舆情发生时，联盟成员媒体要及时关注和收集有关情况，并反馈至联盟秘书处，协同开展舆情应对及引导工作。</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 xml:space="preserve">（三）共同参与学校官方新媒体的建设，联盟成员媒体要积极向学校官方微博、微信等新媒体平台开设的栏目供稿，并积极参与推广和配合联盟统一组织策划的专题报道、话题互动和各类校园活动。 </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（四） 加强与社会媒体的互动。与中央驻滇媒体及关注度较高的社会媒体建立联系沟通和内容供给的机制，以媒体号、栏目内容共建、热点转发等形式开展线上合作，并引入媒体线下资源，为联盟单位优质网络内容在更具影响力平台上传播提供支持。</w:t>
      </w:r>
    </w:p>
    <w:p>
      <w:pPr>
        <w:spacing w:line="600" w:lineRule="exact"/>
        <w:jc w:val="center"/>
        <w:rPr>
          <w:rFonts w:hint="eastAsia" w:ascii="楷体_GB2312" w:hAnsi="楷体_GB2312" w:eastAsia="楷体_GB2312" w:cs="楷体_GB2312"/>
          <w:b/>
          <w:color w:val="auto"/>
          <w:sz w:val="32"/>
          <w:szCs w:val="22"/>
        </w:rPr>
      </w:pPr>
      <w:r>
        <w:rPr>
          <w:rFonts w:hint="eastAsia" w:ascii="楷体_GB2312" w:hAnsi="楷体_GB2312" w:eastAsia="楷体_GB2312" w:cs="楷体_GB2312"/>
          <w:b/>
          <w:color w:val="auto"/>
          <w:sz w:val="32"/>
          <w:szCs w:val="22"/>
        </w:rPr>
        <w:t>第四部分 工作机制</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第七条</w:t>
      </w:r>
      <w:r>
        <w:rPr>
          <w:rFonts w:hint="eastAsia" w:ascii="仿宋" w:hAnsi="仿宋" w:eastAsia="仿宋" w:cs="仿宋"/>
          <w:color w:val="auto"/>
          <w:sz w:val="32"/>
          <w:szCs w:val="22"/>
        </w:rPr>
        <w:t xml:space="preserve"> 凡以学校各级单位、部门名义注册的新媒体，均在登记备案之列。各级单位、部门应在注册之后，详细填写《云南中医药大学融媒体建设备案及审批表》，加盖公章后交至党委宣传部。</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第八条</w:t>
      </w:r>
      <w:r>
        <w:rPr>
          <w:rFonts w:hint="eastAsia" w:ascii="仿宋" w:hAnsi="仿宋" w:eastAsia="仿宋" w:cs="仿宋"/>
          <w:color w:val="auto"/>
          <w:sz w:val="32"/>
          <w:szCs w:val="22"/>
        </w:rPr>
        <w:t xml:space="preserve"> 按照“谁建设谁负责，谁主管谁负责”的原则，各单位、部门应主动建立健全融媒体管理制度，明确分管领导，并督促各开设部门落实专人具体负责内容审核与日常维护等工作。如因工作需要，发生分管领导或管理人员变更，应重新填写《云南中医药大学融媒体建设备案及审批表》，经理事会审批后报党委宣传部备案。</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第九条</w:t>
      </w:r>
      <w:r>
        <w:rPr>
          <w:rFonts w:hint="eastAsia" w:ascii="仿宋" w:hAnsi="仿宋" w:eastAsia="仿宋" w:cs="仿宋"/>
          <w:color w:val="auto"/>
          <w:sz w:val="32"/>
          <w:szCs w:val="22"/>
        </w:rPr>
        <w:t xml:space="preserve"> 云南中医药大学融媒体联盟理事会定期召开会议，根据学校工作重点，制定阶段性的工作内容和联动推送的主要选题，同时总结经验，及时处理联盟发展中存在的问题。</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第十条</w:t>
      </w:r>
      <w:r>
        <w:rPr>
          <w:rFonts w:hint="eastAsia" w:ascii="仿宋" w:hAnsi="仿宋" w:eastAsia="仿宋" w:cs="仿宋"/>
          <w:color w:val="auto"/>
          <w:sz w:val="32"/>
          <w:szCs w:val="22"/>
        </w:rPr>
        <w:t xml:space="preserve"> 云南中医药大学融媒体联盟不定期组织传媒素养培训班、新媒体论坛等，对联盟成员单位进行新闻传播和新媒体运营培训。 </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第十一条</w:t>
      </w:r>
      <w:r>
        <w:rPr>
          <w:rFonts w:hint="eastAsia" w:ascii="仿宋" w:hAnsi="仿宋" w:eastAsia="仿宋" w:cs="仿宋"/>
          <w:color w:val="auto"/>
          <w:sz w:val="32"/>
          <w:szCs w:val="22"/>
        </w:rPr>
        <w:t xml:space="preserve"> 云南中医药大学融媒体联盟将与全国及省内新媒体发展较好的高校加强交流合作，不定期组织联盟成员和优秀学生骨干到兄弟高校互访学习交流，积极参加腾讯、新浪及教育系统组织的全国性新媒体论坛和研讨会。</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第十二条</w:t>
      </w:r>
      <w:r>
        <w:rPr>
          <w:rFonts w:hint="eastAsia" w:ascii="仿宋" w:hAnsi="仿宋" w:eastAsia="仿宋" w:cs="仿宋"/>
          <w:color w:val="auto"/>
          <w:sz w:val="32"/>
          <w:szCs w:val="22"/>
        </w:rPr>
        <w:t xml:space="preserve"> 云南中医药大学融媒体联盟将根据联盟成员媒体的运行情况和影响，开展名栏、名站、名编、名文等评选活动，对优秀新媒体、优秀通讯员予以表彰和奖励。</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第十三条</w:t>
      </w:r>
      <w:r>
        <w:rPr>
          <w:rFonts w:hint="eastAsia" w:ascii="仿宋" w:hAnsi="仿宋" w:eastAsia="仿宋" w:cs="仿宋"/>
          <w:color w:val="auto"/>
          <w:sz w:val="32"/>
          <w:szCs w:val="22"/>
        </w:rPr>
        <w:t xml:space="preserve"> 云南中医药大学融媒体联盟运行相关费用由党委宣传部申请划拨。</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第十四条</w:t>
      </w:r>
      <w:r>
        <w:rPr>
          <w:rFonts w:hint="eastAsia" w:ascii="仿宋" w:hAnsi="仿宋" w:eastAsia="仿宋" w:cs="仿宋"/>
          <w:color w:val="auto"/>
          <w:sz w:val="32"/>
          <w:szCs w:val="22"/>
        </w:rPr>
        <w:t xml:space="preserve"> 《章程》由联盟会员代表大会审议通过，发布后实施。</w:t>
      </w:r>
    </w:p>
    <w:p>
      <w:pPr>
        <w:spacing w:line="600" w:lineRule="exact"/>
        <w:ind w:firstLine="643" w:firstLineChars="200"/>
        <w:rPr>
          <w:rFonts w:hint="eastAsia" w:ascii="仿宋" w:hAnsi="仿宋" w:eastAsia="仿宋" w:cs="仿宋"/>
          <w:color w:val="auto"/>
          <w:sz w:val="32"/>
          <w:szCs w:val="22"/>
        </w:rPr>
      </w:pPr>
      <w:r>
        <w:rPr>
          <w:rFonts w:hint="eastAsia" w:ascii="仿宋" w:hAnsi="仿宋" w:eastAsia="仿宋" w:cs="仿宋"/>
          <w:b/>
          <w:bCs/>
          <w:color w:val="auto"/>
          <w:sz w:val="32"/>
          <w:szCs w:val="22"/>
        </w:rPr>
        <w:t>第十五条</w:t>
      </w:r>
      <w:r>
        <w:rPr>
          <w:rFonts w:hint="eastAsia" w:ascii="仿宋" w:hAnsi="仿宋" w:eastAsia="仿宋" w:cs="仿宋"/>
          <w:color w:val="auto"/>
          <w:sz w:val="32"/>
          <w:szCs w:val="22"/>
        </w:rPr>
        <w:t xml:space="preserve"> 《章程》最终解释由云南中医药大学融媒体联盟秘书处负责。</w:t>
      </w:r>
      <w:bookmarkStart w:id="6" w:name="_Toc19854"/>
    </w:p>
    <w:p>
      <w:pPr>
        <w:pStyle w:val="2"/>
        <w:spacing w:line="600" w:lineRule="exact"/>
        <w:ind w:firstLine="640" w:firstLineChars="200"/>
        <w:jc w:val="center"/>
        <w:rPr>
          <w:rFonts w:hint="eastAsia" w:ascii="黑体" w:hAnsi="黑体" w:cs="黑体"/>
          <w:color w:val="auto"/>
          <w:szCs w:val="22"/>
        </w:rPr>
      </w:pPr>
      <w:r>
        <w:rPr>
          <w:rFonts w:hint="eastAsia" w:ascii="黑体" w:hAnsi="黑体" w:cs="黑体"/>
          <w:color w:val="auto"/>
          <w:szCs w:val="32"/>
        </w:rPr>
        <w:t>第六章  云南中医药大学新媒体</w:t>
      </w:r>
      <w:r>
        <w:rPr>
          <w:rFonts w:hint="eastAsia" w:ascii="黑体" w:hAnsi="黑体" w:cs="黑体"/>
          <w:color w:val="auto"/>
          <w:szCs w:val="32"/>
          <w:lang w:eastAsia="zh-CN"/>
        </w:rPr>
        <w:t>的</w:t>
      </w:r>
      <w:r>
        <w:rPr>
          <w:rFonts w:hint="eastAsia" w:ascii="黑体" w:hAnsi="黑体" w:cs="黑体"/>
          <w:color w:val="auto"/>
          <w:szCs w:val="32"/>
        </w:rPr>
        <w:t>管理</w:t>
      </w:r>
      <w:bookmarkEnd w:id="6"/>
    </w:p>
    <w:p>
      <w:pPr>
        <w:spacing w:line="600" w:lineRule="exact"/>
        <w:ind w:firstLine="643" w:firstLineChars="200"/>
        <w:rPr>
          <w:rFonts w:hint="eastAsia" w:ascii="楷体" w:hAnsi="楷体" w:eastAsia="楷体" w:cs="楷体"/>
          <w:b/>
          <w:color w:val="auto"/>
          <w:sz w:val="32"/>
          <w:szCs w:val="22"/>
        </w:rPr>
      </w:pPr>
      <w:r>
        <w:rPr>
          <w:rFonts w:hint="eastAsia" w:ascii="楷体" w:hAnsi="楷体" w:eastAsia="楷体" w:cs="楷体"/>
          <w:b/>
          <w:color w:val="auto"/>
          <w:sz w:val="32"/>
          <w:szCs w:val="22"/>
        </w:rPr>
        <w:t>第一条 总则</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为了规范校园新媒体的建设和管理，促进校园新媒体健康有序发展，充分发挥校园新媒体在展示学校形象、发布新闻资讯和服务全校师生医务员工等方面的积极作用，根据教育部、国家互联网信息办公室《关于进一步加强高等学校网络建设和管理工作的意见》（教思政〔2013〕3号）、国家互联网信息办公室《互联网群组信息服务管理规定》和《互联网用户公众账号信息服务管理规定》等文件精神，结合学校实际，制定本办法。</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2.本办法所指的校园新媒体，指以学校或校内各单位、各部门、各学院和在籍在册师生员工个人名义建设、认证并作为单位信息平台运行的新媒体平台，包括微博、微信、微视频、网络视频直播账号、QQ公众平台、数字出版物、论坛以及APP移动客户端等。</w:t>
      </w:r>
    </w:p>
    <w:p>
      <w:pPr>
        <w:spacing w:line="600" w:lineRule="exact"/>
        <w:ind w:firstLine="643" w:firstLineChars="200"/>
        <w:rPr>
          <w:rFonts w:hint="eastAsia" w:ascii="楷体" w:hAnsi="楷体" w:eastAsia="楷体" w:cs="楷体"/>
          <w:b/>
          <w:color w:val="auto"/>
          <w:sz w:val="32"/>
          <w:szCs w:val="22"/>
        </w:rPr>
      </w:pPr>
      <w:r>
        <w:rPr>
          <w:rFonts w:hint="eastAsia" w:ascii="楷体" w:hAnsi="楷体" w:eastAsia="楷体" w:cs="楷体"/>
          <w:b/>
          <w:color w:val="auto"/>
          <w:sz w:val="32"/>
          <w:szCs w:val="22"/>
        </w:rPr>
        <w:t>第二条 管理机制</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3.校园各新媒体建设管理必须严格遵守国家各项法律法规，遵守学校各项相关规章制度，按照“属地管理、分级负责”和“谁主办、谁负责”的原则进行管理。各单位主要负责人（学院为党委</w:t>
      </w:r>
      <w:r>
        <w:rPr>
          <w:rFonts w:hint="eastAsia" w:ascii="仿宋" w:hAnsi="仿宋" w:eastAsia="仿宋" w:cs="仿宋"/>
          <w:color w:val="auto"/>
          <w:sz w:val="32"/>
          <w:szCs w:val="22"/>
          <w:lang w:eastAsia="zh-CN"/>
        </w:rPr>
        <w:t>、党总支</w:t>
      </w:r>
      <w:r>
        <w:rPr>
          <w:rFonts w:hint="eastAsia" w:ascii="仿宋" w:hAnsi="仿宋" w:eastAsia="仿宋" w:cs="仿宋"/>
          <w:color w:val="auto"/>
          <w:sz w:val="32"/>
          <w:szCs w:val="22"/>
        </w:rPr>
        <w:t>书记，职能部门为部门正职领导）为第一责任人。新媒体建设管理单位必须建立完善的管理制度和运行机制，包括建立责任体系、落实工作队伍、完善发布审核机制等。</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4.党委宣传部是校园新媒体归口管理部门，其职责是研究制定管理办法，统一管理、协调统筹、整体规划，监督检查与考评校园新媒体运营状况等。</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5.学校对校园新媒体实行分级管理制度。学校官方微博、微信和其他官方新媒体平台为一级平台，由党委宣传部直接管理。各学院和职能部门官方微博、微信和其他新媒体平台为二级平台，由各学院和职能部门负责建设和管理，各单位主要负责人为本单位新媒体建设和管理第一责任人。二级单位下属各单位的新媒体平台和学生组织创建的新媒体为三级平台，按照隶属关系，由二级单位归口管理。其中，校级团学组织创建的新媒体平台归口校团委管理，学生班级、院级团学组织创建的新媒体平台归口所在学院管理。各基层党组织书记或职能部门主要负责人为本单位新媒体建设和管理第一责任人，新媒体平台管理人员为直接责任人。</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6.学校对校园新媒体实行登记备案制度。需要开通新媒体平台的单位和个人，事先须向党委宣传部提出申请，创建7天内，须填写《云南中医药大学新媒体建设备案及审批表》，由所在部门主要负责人（学院、研究院为党委书记，职能部门为部门正职领导）签字并加盖部门公章，报党委宣传部备案。若各新媒体平台账号名、后台管理人员或维护方式发生变更，</w:t>
      </w:r>
      <w:r>
        <w:rPr>
          <w:rFonts w:hint="eastAsia" w:ascii="仿宋" w:hAnsi="仿宋" w:eastAsia="仿宋" w:cs="仿宋"/>
          <w:color w:val="auto"/>
          <w:sz w:val="32"/>
          <w:szCs w:val="22"/>
          <w:lang w:eastAsia="zh-CN"/>
        </w:rPr>
        <w:t>或需进行年审的，</w:t>
      </w:r>
      <w:r>
        <w:rPr>
          <w:rFonts w:hint="eastAsia" w:ascii="仿宋" w:hAnsi="仿宋" w:eastAsia="仿宋" w:cs="仿宋"/>
          <w:color w:val="auto"/>
          <w:sz w:val="32"/>
          <w:szCs w:val="22"/>
        </w:rPr>
        <w:t>应在7日内以书面形式报党委宣传部备案。校内二级单位各下属单位的新媒体平台，由各二级单位党委进行备案，各二级单位党委须将本单位下属新媒体平台备案情况定期报送党委宣传部。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7.学校对一级、二级校园新媒体平台实行审批和年审制度,未通过审核的平台不得继续运行。本办法公布前已开设并运营的账号，请按第六条规定补充填写并于本办法公布后5个工作日内提交登记表。宣传部每年底对一级、二级校园新媒体平台进行年审,其他新媒体平台由归口管理单位负责年审，并报党委宣传部备案。未通过审核的平台不得继续运行。</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8.以学校师生员工个人名义建立，主要用于工作交流，传播内容主要涉及学校工作事务的各类新媒体平台，如QQ群、QQ工作组、微信群、聊天室等，实行“谁建群，谁负责”“谁管理，谁负责”的原则，并建立教师、学生信息安全联络员制度。师生信息安全联络员应实现全校覆盖。要求各单位、部门有1名教师担任信息安全联络员；各学院各年级有1名教师和1名学生担任信息安全联络员；各班级、各学生组织（含各类学生社团）有1名学生担任信息安全联络员。师生信息安全联络员应报备至宣传部，如有变更须在变更后7日内报送至宣传部。除此以外，以个人名义创建的新媒体平台，不得以“云南中医药大学***”、“云南中医大***”、“云中大***”、 “YNTCM***”等学校中英文全称或简称命名运营，且本人对所发内容负全部法律责任。</w:t>
      </w:r>
    </w:p>
    <w:p>
      <w:pPr>
        <w:spacing w:line="600" w:lineRule="exact"/>
        <w:ind w:firstLine="643" w:firstLineChars="200"/>
        <w:rPr>
          <w:rFonts w:hint="eastAsia" w:ascii="楷体" w:hAnsi="楷体" w:eastAsia="楷体" w:cs="楷体"/>
          <w:b/>
          <w:color w:val="auto"/>
          <w:sz w:val="32"/>
          <w:szCs w:val="22"/>
        </w:rPr>
      </w:pPr>
      <w:r>
        <w:rPr>
          <w:rFonts w:hint="eastAsia" w:ascii="楷体" w:hAnsi="楷体" w:eastAsia="楷体" w:cs="楷体"/>
          <w:b/>
          <w:color w:val="auto"/>
          <w:sz w:val="32"/>
          <w:szCs w:val="22"/>
        </w:rPr>
        <w:t>第三条 运营机制</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9.校园新媒体平台应有明确定位和服务对象，力求打造品牌，注重个性发展，避免重复建设。要加强发布内容建设，传播正能量，弘扬主旋律，发展积极向上的网络文化。</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10.建立新媒体内容发布联动机制。在涉及学校重大宣传活动时，各新媒体平台须紧密配合党委宣传部，发挥本平台特色，形成良好的宣传矩阵效应。在涉及学校突发事件危机应对时，各新媒体平台须按照学校统一部署、统一口径发布信息。</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11.建立新媒体内容发布审查机制。严格执行“先审后发”制度。新媒体平台建设管理单位及直接责任人（管理员）对所发布内容的真实性、准确性负责，并预判可能造成的社会影响。严禁发布反动、不实和错误信息，严禁利用单位新媒体平台发布纯属个人的信息。</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12.建立信息纠错机制。新媒体各平台对已发布的不当信息要及时处理。如出现有损国家、社会、学校声誉等的不良信息，须第一时间处置并向党委宣传部报告。</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13.建立保密管理责任制。严格遵守国家和学校有关保密管理相关规定，严禁发布涉密信息。</w:t>
      </w:r>
    </w:p>
    <w:p>
      <w:pPr>
        <w:spacing w:line="600" w:lineRule="exact"/>
        <w:ind w:firstLine="643" w:firstLineChars="200"/>
        <w:rPr>
          <w:rFonts w:hint="eastAsia" w:ascii="楷体" w:hAnsi="楷体" w:eastAsia="楷体" w:cs="楷体"/>
          <w:b/>
          <w:color w:val="auto"/>
          <w:sz w:val="32"/>
          <w:szCs w:val="22"/>
        </w:rPr>
      </w:pPr>
      <w:r>
        <w:rPr>
          <w:rFonts w:hint="eastAsia" w:ascii="楷体" w:hAnsi="楷体" w:eastAsia="楷体" w:cs="楷体"/>
          <w:b/>
          <w:color w:val="auto"/>
          <w:sz w:val="32"/>
          <w:szCs w:val="22"/>
        </w:rPr>
        <w:t>第四条 信息安全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14.新媒体各平台责任单位必须切实加强账号管理和内容监管，提升网络管理人员的思想素质和技术能力，确保网络安全和信息安全，对出现违规内容的新媒体平台，情节严重并造成不良后果的，将按照有关规定追究直接责任人和主管领导责任。</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rPr>
        <w:t>15.新媒体各平台涉及校内数据服务的，服务器必须设置在校内，并按学校服务器管理有关规定报网络信息中心审批。</w:t>
      </w:r>
    </w:p>
    <w:p>
      <w:pPr>
        <w:ind w:firstLine="640" w:firstLineChars="200"/>
        <w:rPr>
          <w:rFonts w:hint="eastAsia" w:ascii="黑体" w:hAnsi="黑体" w:eastAsia="黑体" w:cs="黑体"/>
          <w:color w:val="auto"/>
          <w:sz w:val="32"/>
          <w:szCs w:val="32"/>
          <w:lang w:val="en-US" w:eastAsia="zh-CN"/>
        </w:rPr>
      </w:pPr>
    </w:p>
    <w:p>
      <w:pPr>
        <w:spacing w:line="600" w:lineRule="exact"/>
        <w:ind w:firstLine="640" w:firstLineChars="200"/>
        <w:rPr>
          <w:rFonts w:hint="eastAsia" w:ascii="仿宋" w:hAnsi="仿宋" w:eastAsia="仿宋" w:cs="仿宋"/>
          <w:color w:val="auto"/>
          <w:sz w:val="32"/>
          <w:szCs w:val="22"/>
          <w:lang w:val="en-US" w:eastAsia="zh-CN"/>
        </w:rPr>
      </w:pPr>
      <w:r>
        <w:rPr>
          <w:rFonts w:hint="eastAsia" w:ascii="仿宋" w:hAnsi="仿宋" w:eastAsia="仿宋" w:cs="仿宋"/>
          <w:color w:val="auto"/>
          <w:sz w:val="32"/>
          <w:szCs w:val="22"/>
          <w:lang w:val="en-US" w:eastAsia="zh-CN"/>
        </w:rPr>
        <w:t>附件：</w:t>
      </w:r>
    </w:p>
    <w:p>
      <w:pPr>
        <w:spacing w:line="600" w:lineRule="exact"/>
        <w:ind w:firstLine="640" w:firstLineChars="200"/>
        <w:rPr>
          <w:rFonts w:hint="default" w:ascii="仿宋" w:hAnsi="仿宋" w:eastAsia="仿宋" w:cs="仿宋"/>
          <w:color w:val="auto"/>
          <w:sz w:val="32"/>
          <w:szCs w:val="22"/>
          <w:lang w:val="en-US" w:eastAsia="zh-CN"/>
        </w:rPr>
      </w:pPr>
      <w:r>
        <w:rPr>
          <w:rFonts w:hint="eastAsia" w:ascii="仿宋" w:hAnsi="仿宋" w:eastAsia="仿宋" w:cs="仿宋"/>
          <w:color w:val="auto"/>
          <w:sz w:val="32"/>
          <w:szCs w:val="22"/>
          <w:lang w:val="en-US" w:eastAsia="zh-CN"/>
        </w:rPr>
        <w:t>1.云南中医药大学</w:t>
      </w:r>
      <w:r>
        <w:rPr>
          <w:rFonts w:hint="eastAsia" w:ascii="仿宋" w:hAnsi="仿宋" w:eastAsia="仿宋" w:cs="仿宋"/>
          <w:color w:val="auto"/>
          <w:sz w:val="32"/>
          <w:szCs w:val="22"/>
        </w:rPr>
        <w:t>校园融媒体联盟公约</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val="en-US" w:eastAsia="zh-CN"/>
        </w:rPr>
        <w:t>2.</w:t>
      </w:r>
      <w:r>
        <w:rPr>
          <w:rFonts w:hint="eastAsia" w:ascii="仿宋" w:hAnsi="仿宋" w:eastAsia="仿宋" w:cs="仿宋"/>
          <w:color w:val="auto"/>
          <w:sz w:val="32"/>
          <w:szCs w:val="22"/>
        </w:rPr>
        <w:t>云南中医药大学宣传与网络信息安全承诺书</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val="en-US" w:eastAsia="zh-CN"/>
        </w:rPr>
        <w:t>3.</w:t>
      </w:r>
      <w:r>
        <w:rPr>
          <w:rFonts w:hint="eastAsia" w:ascii="仿宋" w:hAnsi="仿宋" w:eastAsia="仿宋" w:cs="仿宋"/>
          <w:color w:val="auto"/>
          <w:sz w:val="32"/>
          <w:szCs w:val="22"/>
        </w:rPr>
        <w:t>云南中医药大学宣传思想与意识形态规范化管理常用表格</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1</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rPr>
        <w:t>云南中医药大学举办形势政策、哲学社会科学报告会、研讨会、讲座、论坛管理登记表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2</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rPr>
        <w:t>云南中医药大学电子屏、横幅使用审批表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3</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rPr>
        <w:t>云南中医药大学新闻采访与媒体活动管理登记表</w:t>
      </w:r>
    </w:p>
    <w:p>
      <w:pPr>
        <w:spacing w:line="600" w:lineRule="exact"/>
        <w:ind w:firstLine="640" w:firstLineChars="200"/>
        <w:rPr>
          <w:rFonts w:hint="eastAsia" w:ascii="仿宋" w:hAnsi="仿宋" w:eastAsia="仿宋" w:cs="仿宋"/>
          <w:color w:val="auto"/>
          <w:sz w:val="32"/>
          <w:szCs w:val="22"/>
          <w:lang w:eastAsia="zh-CN"/>
        </w:rPr>
      </w:pP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4</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rPr>
        <w:t>云南中医药大学师生理论教育与政治学习检查登记表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5</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rPr>
        <w:t>云南中医药大学师生政治理论学习季度报表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6</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rPr>
        <w:t>云南中医药大学信息公开保密审查表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7</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rPr>
        <w:t>云南中医药大学新媒体建设备案及审批表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lang w:val="en-US" w:eastAsia="zh-CN"/>
        </w:rPr>
        <w:t>8</w:t>
      </w:r>
      <w:r>
        <w:rPr>
          <w:rFonts w:hint="eastAsia" w:ascii="仿宋" w:hAnsi="仿宋" w:eastAsia="仿宋" w:cs="仿宋"/>
          <w:color w:val="auto"/>
          <w:sz w:val="32"/>
          <w:szCs w:val="22"/>
          <w:lang w:eastAsia="zh-CN"/>
        </w:rPr>
        <w:t>）</w:t>
      </w:r>
      <w:r>
        <w:rPr>
          <w:rFonts w:hint="eastAsia" w:ascii="仿宋" w:hAnsi="仿宋" w:eastAsia="仿宋" w:cs="仿宋"/>
          <w:color w:val="auto"/>
          <w:sz w:val="32"/>
          <w:szCs w:val="22"/>
        </w:rPr>
        <w:t>云南中医药大学舆情处置备案登记表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val="en-US" w:eastAsia="zh-CN"/>
        </w:rPr>
        <w:t>4.</w:t>
      </w:r>
      <w:r>
        <w:rPr>
          <w:rFonts w:hint="eastAsia" w:ascii="仿宋" w:hAnsi="仿宋" w:eastAsia="仿宋" w:cs="仿宋"/>
          <w:color w:val="auto"/>
          <w:sz w:val="32"/>
          <w:szCs w:val="22"/>
        </w:rPr>
        <w:t>云南中医药大学宣传思想工作负责人及管理员联系表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val="en-US" w:eastAsia="zh-CN"/>
        </w:rPr>
        <w:t>5.</w:t>
      </w:r>
      <w:r>
        <w:rPr>
          <w:rFonts w:hint="eastAsia" w:ascii="仿宋" w:hAnsi="仿宋" w:eastAsia="仿宋" w:cs="仿宋"/>
          <w:color w:val="auto"/>
          <w:sz w:val="32"/>
          <w:szCs w:val="22"/>
        </w:rPr>
        <w:t>云南中医药大学融媒体联盟第一届理事单位名单</w:t>
      </w: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ind w:firstLine="720" w:firstLineChars="200"/>
        <w:rPr>
          <w:rFonts w:hint="default" w:ascii="黑体" w:eastAsia="黑体"/>
          <w:color w:val="auto"/>
          <w:sz w:val="36"/>
          <w:szCs w:val="36"/>
          <w:lang w:val="en-US" w:eastAsia="zh-CN"/>
        </w:rPr>
      </w:pPr>
    </w:p>
    <w:p>
      <w:pPr>
        <w:spacing w:line="600" w:lineRule="exact"/>
        <w:rPr>
          <w:rFonts w:hint="default" w:ascii="仿宋" w:hAnsi="仿宋" w:eastAsia="仿宋" w:cs="仿宋"/>
          <w:color w:val="auto"/>
          <w:sz w:val="32"/>
          <w:szCs w:val="22"/>
          <w:lang w:val="en-US" w:eastAsia="zh-CN"/>
        </w:rPr>
      </w:pPr>
      <w:r>
        <w:rPr>
          <w:rFonts w:hint="eastAsia" w:ascii="仿宋" w:hAnsi="仿宋" w:eastAsia="仿宋" w:cs="仿宋"/>
          <w:color w:val="auto"/>
          <w:sz w:val="32"/>
          <w:szCs w:val="22"/>
          <w:lang w:val="en-US" w:eastAsia="zh-CN"/>
        </w:rPr>
        <w:t>附件1</w:t>
      </w:r>
    </w:p>
    <w:p>
      <w:pPr>
        <w:spacing w:line="600" w:lineRule="exact"/>
        <w:jc w:val="cente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lang w:eastAsia="zh-CN"/>
        </w:rPr>
        <w:t>云南中医药大学</w:t>
      </w:r>
      <w:r>
        <w:rPr>
          <w:rFonts w:hint="eastAsia" w:ascii="方正小标宋_GBK" w:hAnsi="方正小标宋_GBK" w:eastAsia="方正小标宋_GBK" w:cs="方正小标宋_GBK"/>
          <w:b w:val="0"/>
          <w:bCs/>
          <w:color w:val="auto"/>
          <w:sz w:val="44"/>
          <w:szCs w:val="44"/>
        </w:rPr>
        <w:t>校园融媒体联盟公约</w:t>
      </w:r>
    </w:p>
    <w:p>
      <w:pPr>
        <w:spacing w:line="600" w:lineRule="exact"/>
        <w:rPr>
          <w:rFonts w:hint="eastAsia" w:ascii="仿宋" w:hAnsi="仿宋" w:eastAsia="仿宋" w:cs="仿宋"/>
          <w:color w:val="auto"/>
          <w:sz w:val="32"/>
          <w:szCs w:val="22"/>
        </w:rPr>
      </w:pP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第一条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始终坚持党管宣传思想、党管意识形态原则，牢牢把握网络意识形态工作领导权主动权话语权。坚守意识形态底线，坚持正确的价值导向，传递正能量，自觉维护学校和学生的良好形象和声誉。</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第二条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恪守网络空间“七条底线”（法律法规底线、社会主义制度底线、国家利益底线、公民合法权益底线、社会公共秩序底线、道德风尚底线、信息真实性底线），勇担责任，共同维护校园网络舆论秩序。</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第三条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坚持“有效联动、资源共享、聚合传播”的理念，自觉接受学校党委的领导，接受党委宣传部和融媒体联盟的业务指导。</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第四条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坚持“自办自管”的原则，尊重成员发声的权利与自由，充分利用各种资源，扩大自身力量影响力。</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第五条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遵守新媒体、自媒体职业道德，不得采用误导、诱骗等方式吸引关注，影响师生使用体验。</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第六条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坚持传播的真实性、正面性、公益性，杜绝虚假内容、负面内容，不造谣、不传谣。</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第七条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自觉抵制网络低俗之风，不进行非法信息制作和传播，净化校园网络空间。</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第八条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积极参加学校融媒体联盟组织的校园报道、校外采风、参观学习、业务培训等有关活动。</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第九条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校园所有新媒体、自媒体和学校融媒体联盟友好沟通、互助共进，共同推进校园自媒体的健康发展。</w:t>
      </w:r>
    </w:p>
    <w:p>
      <w:pPr>
        <w:spacing w:line="600" w:lineRule="exact"/>
        <w:ind w:firstLine="640" w:firstLineChars="200"/>
        <w:rPr>
          <w:rFonts w:hint="eastAsia" w:ascii="仿宋" w:hAnsi="仿宋" w:eastAsia="仿宋" w:cs="仿宋"/>
          <w:color w:val="auto"/>
          <w:sz w:val="32"/>
          <w:szCs w:val="22"/>
        </w:rPr>
      </w:pPr>
      <w:r>
        <w:rPr>
          <w:rFonts w:hint="eastAsia" w:ascii="仿宋" w:hAnsi="仿宋" w:eastAsia="仿宋" w:cs="仿宋"/>
          <w:color w:val="auto"/>
          <w:sz w:val="32"/>
          <w:szCs w:val="22"/>
          <w:lang w:eastAsia="zh-CN"/>
        </w:rPr>
        <w:t>第十条</w:t>
      </w:r>
      <w:r>
        <w:rPr>
          <w:rFonts w:hint="eastAsia" w:ascii="仿宋" w:hAnsi="仿宋" w:eastAsia="仿宋" w:cs="仿宋"/>
          <w:color w:val="auto"/>
          <w:sz w:val="32"/>
          <w:szCs w:val="22"/>
          <w:lang w:val="en-US" w:eastAsia="zh-CN"/>
        </w:rPr>
        <w:t xml:space="preserve"> </w:t>
      </w:r>
      <w:r>
        <w:rPr>
          <w:rFonts w:hint="eastAsia" w:ascii="仿宋" w:hAnsi="仿宋" w:eastAsia="仿宋" w:cs="仿宋"/>
          <w:color w:val="auto"/>
          <w:sz w:val="32"/>
          <w:szCs w:val="22"/>
        </w:rPr>
        <w:t>校园新媒体、自媒体要相互监督，自觉接受相关管理。对产生不良影响者，将按法律法规责令整改和严肃处理。</w:t>
      </w:r>
    </w:p>
    <w:p>
      <w:pPr>
        <w:pStyle w:val="5"/>
        <w:numPr>
          <w:ilvl w:val="0"/>
          <w:numId w:val="0"/>
        </w:numPr>
        <w:spacing w:line="240" w:lineRule="auto"/>
        <w:rPr>
          <w:rFonts w:hint="eastAsia" w:ascii="方正小标宋简体" w:hAnsi="方正小标宋简体" w:eastAsia="方正小标宋简体" w:cs="方正小标宋简体"/>
          <w:color w:val="auto"/>
          <w:sz w:val="44"/>
          <w:szCs w:val="44"/>
          <w:lang w:eastAsia="zh-CN"/>
        </w:rPr>
      </w:pPr>
      <w:bookmarkStart w:id="7" w:name="_Toc7507"/>
    </w:p>
    <w:p>
      <w:pPr>
        <w:pStyle w:val="5"/>
        <w:numPr>
          <w:ilvl w:val="0"/>
          <w:numId w:val="0"/>
        </w:numPr>
        <w:spacing w:line="240" w:lineRule="auto"/>
        <w:rPr>
          <w:rFonts w:hint="eastAsia" w:ascii="方正小标宋简体" w:hAnsi="方正小标宋简体" w:eastAsia="方正小标宋简体" w:cs="方正小标宋简体"/>
          <w:color w:val="auto"/>
          <w:sz w:val="44"/>
          <w:szCs w:val="44"/>
        </w:rPr>
      </w:pPr>
    </w:p>
    <w:p>
      <w:pPr>
        <w:pStyle w:val="5"/>
        <w:numPr>
          <w:ilvl w:val="0"/>
          <w:numId w:val="0"/>
        </w:numPr>
        <w:spacing w:line="240" w:lineRule="auto"/>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bookmarkEnd w:id="7"/>
    <w:p>
      <w:pPr>
        <w:ind w:firstLine="422" w:firstLineChars="200"/>
        <w:rPr>
          <w:rFonts w:hint="eastAsia" w:ascii="楷体_GB2312" w:hAnsi="方正小标宋简体" w:eastAsia="楷体_GB2312" w:cs="方正小标宋简体"/>
          <w:b/>
          <w:color w:val="auto"/>
          <w:lang w:val="en-US" w:eastAsia="zh-CN"/>
        </w:rPr>
      </w:pPr>
    </w:p>
    <w:p>
      <w:pPr>
        <w:spacing w:line="600" w:lineRule="exact"/>
        <w:rPr>
          <w:rFonts w:hint="eastAsia" w:ascii="仿宋" w:hAnsi="仿宋" w:eastAsia="仿宋" w:cs="仿宋"/>
          <w:color w:val="auto"/>
          <w:sz w:val="32"/>
          <w:szCs w:val="22"/>
          <w:lang w:val="en-US" w:eastAsia="zh-CN"/>
        </w:rPr>
      </w:pPr>
      <w:r>
        <w:rPr>
          <w:rFonts w:hint="eastAsia" w:ascii="仿宋" w:hAnsi="仿宋" w:eastAsia="仿宋" w:cs="仿宋"/>
          <w:color w:val="auto"/>
          <w:sz w:val="32"/>
          <w:szCs w:val="22"/>
          <w:lang w:val="en-US" w:eastAsia="zh-CN"/>
        </w:rPr>
        <w:t>附件2</w:t>
      </w:r>
    </w:p>
    <w:p>
      <w:pPr>
        <w:jc w:val="center"/>
        <w:rPr>
          <w:rFonts w:hint="eastAsia" w:ascii="黑体" w:hAnsi="黑体" w:eastAsia="黑体" w:cs="黑体"/>
          <w:color w:val="auto"/>
          <w:sz w:val="44"/>
          <w:szCs w:val="44"/>
          <w:lang w:val="en-US" w:eastAsia="zh-CN"/>
        </w:rPr>
      </w:pPr>
      <w:r>
        <w:rPr>
          <w:rFonts w:hint="eastAsia" w:ascii="方正小标宋_GBK" w:hAnsi="方正小标宋_GBK" w:eastAsia="方正小标宋_GBK" w:cs="方正小标宋_GBK"/>
          <w:color w:val="auto"/>
          <w:sz w:val="44"/>
          <w:szCs w:val="44"/>
        </w:rPr>
        <w:t>云南中医药大学宣传与网络信息安全承诺书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有力维护意识形态安全，加强宣传思想工作，明确网络与信息安全责任，确保我校宣传及网络信息系统安全、稳定运行，按照云南省高等学校意识形态工作责任书及学校相关规定，我单位（部门）郑重承诺严格落实以下工作并承担相关责任：</w:t>
      </w:r>
    </w:p>
    <w:p>
      <w:pPr>
        <w:numPr>
          <w:ilvl w:val="0"/>
          <w:numId w:val="2"/>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按照“谁主管，谁负责；谁运行，谁负责；谁使用，谁负责”的原则，单位（部门）主要负责人为第一责任人，有效落实宣传与网络信息安全责任制。</w:t>
      </w:r>
    </w:p>
    <w:p>
      <w:pPr>
        <w:numPr>
          <w:ilvl w:val="0"/>
          <w:numId w:val="2"/>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明确本单位（部门）宣传与网络信息安全工作职责和任务，加强组织领导，明确职责任务，将宣传与网络信息安全职责落实到具体人员。 </w:t>
      </w:r>
    </w:p>
    <w:p>
      <w:pPr>
        <w:numPr>
          <w:ilvl w:val="0"/>
          <w:numId w:val="2"/>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加强对各类宣传思想工作文化阵地的管理，实时动态更新，严格内容发布审核制度，明确审核主体和流程，坚持分级分类审核、先审后发。对工作微信群、QQ群的进行规范管理，落实“群主”责任。加强对自媒体的引导，落实“谁开设谁负责”的主体责任。</w:t>
      </w:r>
    </w:p>
    <w:p>
      <w:pPr>
        <w:numPr>
          <w:ilvl w:val="0"/>
          <w:numId w:val="2"/>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对阵地、平台、栏目、内容等开展经常性自检自查，排查安全隐患，对薄弱环节和潜在威胁采取措施进行整改，第一时间发现和处置苗头性、倾向性、预警性、现实性、危害性问题。</w:t>
      </w:r>
    </w:p>
    <w:p>
      <w:pPr>
        <w:numPr>
          <w:ilvl w:val="0"/>
          <w:numId w:val="2"/>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加强校园网络管理和网络文化建设，强化正面教育引导，建立网络舆情处置机制，积极主动开展网上舆论斗争。</w:t>
      </w:r>
    </w:p>
    <w:p>
      <w:pPr>
        <w:numPr>
          <w:ilvl w:val="0"/>
          <w:numId w:val="2"/>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与学校相关单位建立信息网络安全事件（事故）发现、报告、处置等工作机制，坚持在重点及敏感时期进行网络与信息安全事件“网上每日零报告”，坚决杜绝信息安全事件隐瞒不报、漏报或迟报等情况。 </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ind w:firstLine="3520" w:firstLineChars="1100"/>
        <w:rPr>
          <w:rFonts w:hint="eastAsia" w:ascii="仿宋" w:hAnsi="仿宋" w:eastAsia="仿宋" w:cs="仿宋"/>
          <w:color w:val="auto"/>
          <w:sz w:val="32"/>
          <w:szCs w:val="32"/>
        </w:rPr>
      </w:pPr>
      <w:r>
        <w:rPr>
          <w:rFonts w:hint="eastAsia" w:ascii="仿宋" w:hAnsi="仿宋" w:eastAsia="仿宋" w:cs="仿宋"/>
          <w:color w:val="auto"/>
          <w:sz w:val="32"/>
          <w:szCs w:val="32"/>
        </w:rPr>
        <w:t>承诺单位（盖章）： </w:t>
      </w:r>
    </w:p>
    <w:p>
      <w:pPr>
        <w:ind w:firstLine="3520" w:firstLineChars="1100"/>
        <w:rPr>
          <w:rFonts w:hint="eastAsia" w:ascii="仿宋" w:hAnsi="仿宋" w:eastAsia="仿宋" w:cs="仿宋"/>
          <w:color w:val="auto"/>
          <w:sz w:val="32"/>
          <w:szCs w:val="32"/>
        </w:rPr>
      </w:pPr>
      <w:r>
        <w:rPr>
          <w:rFonts w:hint="eastAsia" w:ascii="仿宋" w:hAnsi="仿宋" w:eastAsia="仿宋" w:cs="仿宋"/>
          <w:color w:val="auto"/>
          <w:sz w:val="32"/>
          <w:szCs w:val="32"/>
        </w:rPr>
        <w:t> </w:t>
      </w:r>
    </w:p>
    <w:p>
      <w:pPr>
        <w:ind w:firstLine="3520" w:firstLineChars="1100"/>
        <w:rPr>
          <w:rFonts w:hint="eastAsia" w:ascii="仿宋" w:hAnsi="仿宋" w:eastAsia="仿宋" w:cs="仿宋"/>
          <w:color w:val="auto"/>
          <w:sz w:val="32"/>
          <w:szCs w:val="32"/>
        </w:rPr>
      </w:pPr>
      <w:r>
        <w:rPr>
          <w:rFonts w:hint="eastAsia" w:ascii="仿宋" w:hAnsi="仿宋" w:eastAsia="仿宋" w:cs="仿宋"/>
          <w:color w:val="auto"/>
          <w:sz w:val="32"/>
          <w:szCs w:val="32"/>
        </w:rPr>
        <w:t>主要负责人（签字）： </w:t>
      </w:r>
    </w:p>
    <w:p>
      <w:pPr>
        <w:ind w:firstLine="3520" w:firstLineChars="1100"/>
        <w:rPr>
          <w:rFonts w:hint="eastAsia" w:ascii="仿宋" w:hAnsi="仿宋" w:eastAsia="仿宋" w:cs="仿宋"/>
          <w:color w:val="auto"/>
          <w:sz w:val="32"/>
          <w:szCs w:val="32"/>
        </w:rPr>
      </w:pPr>
    </w:p>
    <w:p>
      <w:pPr>
        <w:ind w:firstLine="3520" w:firstLineChars="1100"/>
        <w:rPr>
          <w:rFonts w:hint="eastAsia" w:ascii="仿宋" w:hAnsi="仿宋" w:eastAsia="仿宋" w:cs="仿宋"/>
          <w:color w:val="auto"/>
          <w:sz w:val="32"/>
          <w:szCs w:val="32"/>
        </w:rPr>
      </w:pPr>
      <w:r>
        <w:rPr>
          <w:rFonts w:hint="eastAsia" w:ascii="仿宋" w:hAnsi="仿宋" w:eastAsia="仿宋" w:cs="仿宋"/>
          <w:color w:val="auto"/>
          <w:sz w:val="32"/>
          <w:szCs w:val="32"/>
        </w:rPr>
        <w:t>宣传信息管理员（签字）： </w:t>
      </w:r>
    </w:p>
    <w:p>
      <w:pPr>
        <w:ind w:firstLine="3520" w:firstLineChars="1100"/>
        <w:jc w:val="right"/>
        <w:rPr>
          <w:rFonts w:hint="eastAsia" w:ascii="仿宋" w:hAnsi="仿宋" w:eastAsia="仿宋" w:cs="仿宋"/>
          <w:color w:val="auto"/>
          <w:sz w:val="32"/>
          <w:szCs w:val="32"/>
        </w:rPr>
      </w:pPr>
      <w:r>
        <w:rPr>
          <w:rFonts w:hint="eastAsia" w:ascii="仿宋" w:hAnsi="仿宋" w:eastAsia="仿宋" w:cs="仿宋"/>
          <w:color w:val="auto"/>
          <w:sz w:val="32"/>
          <w:szCs w:val="32"/>
        </w:rPr>
        <w:t>年   月   日</w:t>
      </w:r>
    </w:p>
    <w:p>
      <w:pPr>
        <w:jc w:val="center"/>
        <w:rPr>
          <w:rFonts w:hint="eastAsia" w:ascii="黑体" w:eastAsia="黑体"/>
          <w:color w:val="auto"/>
          <w:sz w:val="36"/>
          <w:szCs w:val="36"/>
        </w:rPr>
      </w:pPr>
    </w:p>
    <w:p>
      <w:pPr>
        <w:jc w:val="center"/>
        <w:rPr>
          <w:rFonts w:hint="eastAsia" w:ascii="黑体" w:eastAsia="黑体"/>
          <w:color w:val="auto"/>
          <w:sz w:val="36"/>
          <w:szCs w:val="36"/>
        </w:rPr>
      </w:pPr>
    </w:p>
    <w:p>
      <w:pPr>
        <w:jc w:val="center"/>
        <w:rPr>
          <w:rFonts w:hint="eastAsia" w:ascii="黑体" w:eastAsia="黑体"/>
          <w:color w:val="auto"/>
          <w:sz w:val="36"/>
          <w:szCs w:val="36"/>
        </w:rPr>
      </w:pPr>
    </w:p>
    <w:p>
      <w:pPr>
        <w:jc w:val="center"/>
        <w:rPr>
          <w:rFonts w:hint="eastAsia" w:ascii="黑体" w:eastAsia="黑体"/>
          <w:color w:val="auto"/>
          <w:sz w:val="36"/>
          <w:szCs w:val="36"/>
        </w:rPr>
      </w:pPr>
    </w:p>
    <w:p>
      <w:pPr>
        <w:ind w:firstLine="720" w:firstLineChars="200"/>
        <w:jc w:val="both"/>
        <w:rPr>
          <w:rFonts w:hint="eastAsia" w:ascii="黑体" w:eastAsia="黑体"/>
          <w:color w:val="auto"/>
          <w:sz w:val="36"/>
          <w:szCs w:val="36"/>
          <w:lang w:val="en-US" w:eastAsia="zh-CN"/>
        </w:rPr>
      </w:pPr>
    </w:p>
    <w:p>
      <w:pPr>
        <w:ind w:firstLine="720" w:firstLineChars="200"/>
        <w:jc w:val="both"/>
        <w:rPr>
          <w:rFonts w:hint="eastAsia" w:ascii="黑体" w:eastAsia="黑体"/>
          <w:color w:val="auto"/>
          <w:sz w:val="36"/>
          <w:szCs w:val="36"/>
          <w:lang w:val="en-US" w:eastAsia="zh-CN"/>
        </w:rPr>
      </w:pPr>
    </w:p>
    <w:p>
      <w:pPr>
        <w:ind w:firstLine="720" w:firstLineChars="200"/>
        <w:jc w:val="both"/>
        <w:rPr>
          <w:rFonts w:hint="eastAsia" w:ascii="黑体" w:eastAsia="黑体"/>
          <w:color w:val="auto"/>
          <w:sz w:val="36"/>
          <w:szCs w:val="36"/>
          <w:lang w:val="en-US" w:eastAsia="zh-CN"/>
        </w:rPr>
      </w:pPr>
    </w:p>
    <w:p>
      <w:pPr>
        <w:ind w:firstLine="720" w:firstLineChars="200"/>
        <w:jc w:val="both"/>
        <w:rPr>
          <w:rFonts w:hint="eastAsia" w:ascii="黑体" w:eastAsia="黑体"/>
          <w:color w:val="auto"/>
          <w:sz w:val="36"/>
          <w:szCs w:val="36"/>
          <w:lang w:val="en-US" w:eastAsia="zh-CN"/>
        </w:rPr>
      </w:pPr>
    </w:p>
    <w:p>
      <w:pPr>
        <w:ind w:firstLine="720" w:firstLineChars="200"/>
        <w:jc w:val="both"/>
        <w:rPr>
          <w:rFonts w:hint="eastAsia" w:ascii="黑体" w:eastAsia="黑体"/>
          <w:color w:val="auto"/>
          <w:sz w:val="36"/>
          <w:szCs w:val="36"/>
          <w:lang w:val="en-US" w:eastAsia="zh-CN"/>
        </w:rPr>
      </w:pPr>
    </w:p>
    <w:p>
      <w:pPr>
        <w:ind w:firstLine="720" w:firstLineChars="200"/>
        <w:jc w:val="both"/>
        <w:rPr>
          <w:rFonts w:hint="eastAsia" w:ascii="黑体" w:eastAsia="黑体"/>
          <w:color w:val="auto"/>
          <w:sz w:val="36"/>
          <w:szCs w:val="36"/>
          <w:lang w:val="en-US" w:eastAsia="zh-CN"/>
        </w:rPr>
      </w:pPr>
    </w:p>
    <w:p>
      <w:pPr>
        <w:ind w:firstLine="720" w:firstLineChars="200"/>
        <w:jc w:val="both"/>
        <w:rPr>
          <w:rFonts w:hint="eastAsia" w:ascii="黑体" w:eastAsia="黑体"/>
          <w:color w:val="auto"/>
          <w:sz w:val="36"/>
          <w:szCs w:val="36"/>
          <w:lang w:val="en-US" w:eastAsia="zh-CN"/>
        </w:rPr>
      </w:pPr>
    </w:p>
    <w:p>
      <w:pPr>
        <w:ind w:firstLine="720" w:firstLineChars="200"/>
        <w:jc w:val="both"/>
        <w:rPr>
          <w:rFonts w:hint="eastAsia" w:ascii="黑体" w:eastAsia="黑体"/>
          <w:color w:val="auto"/>
          <w:sz w:val="36"/>
          <w:szCs w:val="36"/>
          <w:lang w:val="en-US" w:eastAsia="zh-CN"/>
        </w:rPr>
      </w:pPr>
    </w:p>
    <w:p>
      <w:p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附件3</w:t>
      </w:r>
    </w:p>
    <w:p>
      <w:pPr>
        <w:jc w:val="center"/>
        <w:rPr>
          <w:rFonts w:hint="eastAsia" w:ascii="黑体" w:eastAsia="黑体"/>
          <w:color w:val="auto"/>
          <w:sz w:val="36"/>
          <w:szCs w:val="36"/>
        </w:rPr>
      </w:pPr>
      <w:r>
        <w:rPr>
          <w:rFonts w:hint="eastAsia" w:ascii="方正小标宋_GBK" w:hAnsi="方正小标宋_GBK" w:eastAsia="方正小标宋_GBK" w:cs="方正小标宋_GBK"/>
          <w:color w:val="auto"/>
          <w:sz w:val="36"/>
          <w:szCs w:val="36"/>
          <w:lang w:val="en-US" w:eastAsia="zh-CN"/>
        </w:rPr>
        <w:t>云南中医药大学</w:t>
      </w:r>
      <w:r>
        <w:rPr>
          <w:rFonts w:hint="eastAsia" w:ascii="方正小标宋_GBK" w:hAnsi="方正小标宋_GBK" w:eastAsia="方正小标宋_GBK" w:cs="方正小标宋_GBK"/>
          <w:color w:val="auto"/>
          <w:sz w:val="36"/>
          <w:szCs w:val="36"/>
        </w:rPr>
        <w:t>宣传思想与意识形态规范化管理常用表格</w:t>
      </w:r>
    </w:p>
    <w:p>
      <w:pPr>
        <w:jc w:val="center"/>
        <w:rPr>
          <w:rFonts w:hint="eastAsia" w:ascii="黑体" w:eastAsia="黑体"/>
          <w:color w:val="auto"/>
          <w:sz w:val="36"/>
          <w:szCs w:val="36"/>
        </w:rPr>
      </w:pPr>
      <w:r>
        <w:rPr>
          <w:rFonts w:hint="eastAsia" w:ascii="黑体" w:eastAsia="黑体"/>
          <w:color w:val="auto"/>
          <w:sz w:val="36"/>
          <w:szCs w:val="36"/>
          <w:lang w:eastAsia="zh-CN"/>
        </w:rPr>
        <w:t>（</w:t>
      </w:r>
      <w:r>
        <w:rPr>
          <w:rFonts w:hint="eastAsia" w:ascii="黑体" w:eastAsia="黑体"/>
          <w:color w:val="auto"/>
          <w:sz w:val="36"/>
          <w:szCs w:val="36"/>
          <w:lang w:val="en-US" w:eastAsia="zh-CN"/>
        </w:rPr>
        <w:t>1</w:t>
      </w:r>
      <w:r>
        <w:rPr>
          <w:rFonts w:hint="eastAsia" w:ascii="黑体" w:eastAsia="黑体"/>
          <w:color w:val="auto"/>
          <w:sz w:val="36"/>
          <w:szCs w:val="36"/>
          <w:lang w:eastAsia="zh-CN"/>
        </w:rPr>
        <w:t>）</w:t>
      </w:r>
      <w:r>
        <w:rPr>
          <w:rFonts w:hint="eastAsia" w:ascii="黑体" w:eastAsia="黑体"/>
          <w:color w:val="auto"/>
          <w:sz w:val="36"/>
          <w:szCs w:val="36"/>
        </w:rPr>
        <w:t>云南中医药大学举办形势政策、哲学社会科学</w:t>
      </w:r>
    </w:p>
    <w:p>
      <w:pPr>
        <w:jc w:val="center"/>
        <w:rPr>
          <w:rFonts w:hint="eastAsia" w:ascii="黑体" w:eastAsia="黑体"/>
          <w:color w:val="auto"/>
          <w:sz w:val="36"/>
          <w:szCs w:val="36"/>
        </w:rPr>
      </w:pPr>
      <w:r>
        <w:rPr>
          <w:rFonts w:hint="eastAsia" w:ascii="黑体" w:eastAsia="黑体"/>
          <w:color w:val="auto"/>
          <w:sz w:val="36"/>
          <w:szCs w:val="36"/>
        </w:rPr>
        <w:t>报告会、研讨会、讲座、论坛管理登记表</w:t>
      </w:r>
    </w:p>
    <w:tbl>
      <w:tblPr>
        <w:tblStyle w:val="6"/>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111"/>
        <w:gridCol w:w="87"/>
        <w:gridCol w:w="1024"/>
        <w:gridCol w:w="1111"/>
        <w:gridCol w:w="1606"/>
        <w:gridCol w:w="303"/>
        <w:gridCol w:w="1167"/>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1" w:type="dxa"/>
            <w:vMerge w:val="restart"/>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报告人</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情况</w:t>
            </w:r>
          </w:p>
        </w:tc>
        <w:tc>
          <w:tcPr>
            <w:tcW w:w="111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职务</w:t>
            </w:r>
          </w:p>
        </w:tc>
        <w:tc>
          <w:tcPr>
            <w:tcW w:w="1111" w:type="dxa"/>
            <w:gridSpan w:val="2"/>
            <w:noWrap w:val="0"/>
            <w:vAlign w:val="center"/>
          </w:tcPr>
          <w:p>
            <w:pPr>
              <w:spacing w:line="560" w:lineRule="exact"/>
              <w:jc w:val="center"/>
              <w:rPr>
                <w:rFonts w:hint="eastAsia" w:ascii="仿宋" w:hAnsi="仿宋" w:eastAsia="仿宋" w:cs="仿宋"/>
                <w:color w:val="auto"/>
                <w:sz w:val="24"/>
                <w:szCs w:val="24"/>
              </w:rPr>
            </w:pPr>
          </w:p>
        </w:tc>
        <w:tc>
          <w:tcPr>
            <w:tcW w:w="111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性别</w:t>
            </w:r>
          </w:p>
        </w:tc>
        <w:tc>
          <w:tcPr>
            <w:tcW w:w="1606" w:type="dxa"/>
            <w:noWrap w:val="0"/>
            <w:vAlign w:val="center"/>
          </w:tcPr>
          <w:p>
            <w:pPr>
              <w:spacing w:line="560" w:lineRule="exact"/>
              <w:jc w:val="center"/>
              <w:rPr>
                <w:rFonts w:hint="eastAsia" w:ascii="仿宋" w:hAnsi="仿宋" w:eastAsia="仿宋" w:cs="仿宋"/>
                <w:color w:val="auto"/>
                <w:sz w:val="24"/>
                <w:szCs w:val="24"/>
              </w:rPr>
            </w:pPr>
          </w:p>
        </w:tc>
        <w:tc>
          <w:tcPr>
            <w:tcW w:w="1470" w:type="dxa"/>
            <w:gridSpan w:val="2"/>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政治面貌</w:t>
            </w:r>
          </w:p>
        </w:tc>
        <w:tc>
          <w:tcPr>
            <w:tcW w:w="1530" w:type="dxa"/>
            <w:noWrap w:val="0"/>
            <w:vAlign w:val="center"/>
          </w:tcPr>
          <w:p>
            <w:pPr>
              <w:spacing w:line="5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1" w:type="dxa"/>
            <w:vMerge w:val="continue"/>
            <w:noWrap w:val="0"/>
            <w:vAlign w:val="center"/>
          </w:tcPr>
          <w:p>
            <w:pPr>
              <w:spacing w:line="560" w:lineRule="exact"/>
              <w:jc w:val="center"/>
              <w:rPr>
                <w:rFonts w:hint="eastAsia" w:ascii="仿宋" w:hAnsi="仿宋" w:eastAsia="仿宋" w:cs="仿宋"/>
                <w:color w:val="auto"/>
                <w:sz w:val="24"/>
                <w:szCs w:val="24"/>
              </w:rPr>
            </w:pPr>
          </w:p>
        </w:tc>
        <w:tc>
          <w:tcPr>
            <w:tcW w:w="111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111" w:type="dxa"/>
            <w:gridSpan w:val="2"/>
            <w:noWrap w:val="0"/>
            <w:vAlign w:val="center"/>
          </w:tcPr>
          <w:p>
            <w:pPr>
              <w:spacing w:line="560" w:lineRule="exact"/>
              <w:jc w:val="center"/>
              <w:rPr>
                <w:rFonts w:hint="eastAsia" w:ascii="仿宋" w:hAnsi="仿宋" w:eastAsia="仿宋" w:cs="仿宋"/>
                <w:color w:val="auto"/>
                <w:sz w:val="24"/>
                <w:szCs w:val="24"/>
              </w:rPr>
            </w:pPr>
          </w:p>
        </w:tc>
        <w:tc>
          <w:tcPr>
            <w:tcW w:w="111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1606" w:type="dxa"/>
            <w:noWrap w:val="0"/>
            <w:vAlign w:val="center"/>
          </w:tcPr>
          <w:p>
            <w:pPr>
              <w:spacing w:line="560" w:lineRule="exact"/>
              <w:jc w:val="center"/>
              <w:rPr>
                <w:rFonts w:hint="eastAsia" w:ascii="仿宋" w:hAnsi="仿宋" w:eastAsia="仿宋" w:cs="仿宋"/>
                <w:color w:val="auto"/>
                <w:sz w:val="24"/>
                <w:szCs w:val="24"/>
              </w:rPr>
            </w:pPr>
          </w:p>
        </w:tc>
        <w:tc>
          <w:tcPr>
            <w:tcW w:w="1470" w:type="dxa"/>
            <w:gridSpan w:val="2"/>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1530" w:type="dxa"/>
            <w:noWrap w:val="0"/>
            <w:vAlign w:val="center"/>
          </w:tcPr>
          <w:p>
            <w:pPr>
              <w:spacing w:line="5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9" w:hRule="atLeast"/>
          <w:jc w:val="center"/>
        </w:trPr>
        <w:tc>
          <w:tcPr>
            <w:tcW w:w="128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报告</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内容</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摘要</w:t>
            </w:r>
          </w:p>
        </w:tc>
        <w:tc>
          <w:tcPr>
            <w:tcW w:w="7939" w:type="dxa"/>
            <w:gridSpan w:val="8"/>
            <w:noWrap w:val="0"/>
            <w:vAlign w:val="center"/>
          </w:tcPr>
          <w:p>
            <w:pPr>
              <w:spacing w:line="5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281" w:type="dxa"/>
            <w:noWrap w:val="0"/>
            <w:vAlign w:val="center"/>
          </w:tcPr>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报告</w:t>
            </w:r>
          </w:p>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7939" w:type="dxa"/>
            <w:gridSpan w:val="8"/>
            <w:noWrap w:val="0"/>
            <w:vAlign w:val="center"/>
          </w:tcPr>
          <w:p>
            <w:pPr>
              <w:spacing w:line="48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1" w:type="dxa"/>
            <w:noWrap w:val="0"/>
            <w:vAlign w:val="center"/>
          </w:tcPr>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报告</w:t>
            </w:r>
          </w:p>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地点</w:t>
            </w:r>
          </w:p>
        </w:tc>
        <w:tc>
          <w:tcPr>
            <w:tcW w:w="7939" w:type="dxa"/>
            <w:gridSpan w:val="8"/>
            <w:noWrap w:val="0"/>
            <w:vAlign w:val="center"/>
          </w:tcPr>
          <w:p>
            <w:pPr>
              <w:spacing w:line="48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79" w:type="dxa"/>
            <w:gridSpan w:val="3"/>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填表人</w:t>
            </w:r>
          </w:p>
        </w:tc>
        <w:tc>
          <w:tcPr>
            <w:tcW w:w="2135" w:type="dxa"/>
            <w:gridSpan w:val="2"/>
            <w:noWrap w:val="0"/>
            <w:vAlign w:val="center"/>
          </w:tcPr>
          <w:p>
            <w:pPr>
              <w:spacing w:line="560" w:lineRule="exact"/>
              <w:jc w:val="center"/>
              <w:rPr>
                <w:rFonts w:hint="eastAsia" w:ascii="仿宋" w:hAnsi="仿宋" w:eastAsia="仿宋" w:cs="仿宋"/>
                <w:color w:val="auto"/>
                <w:sz w:val="24"/>
                <w:szCs w:val="24"/>
              </w:rPr>
            </w:pPr>
          </w:p>
        </w:tc>
        <w:tc>
          <w:tcPr>
            <w:tcW w:w="1909" w:type="dxa"/>
            <w:gridSpan w:val="2"/>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填表时间</w:t>
            </w:r>
          </w:p>
        </w:tc>
        <w:tc>
          <w:tcPr>
            <w:tcW w:w="2697" w:type="dxa"/>
            <w:gridSpan w:val="2"/>
            <w:noWrap w:val="0"/>
            <w:vAlign w:val="center"/>
          </w:tcPr>
          <w:p>
            <w:pPr>
              <w:spacing w:line="5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128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主办</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w:t>
            </w:r>
          </w:p>
        </w:tc>
        <w:tc>
          <w:tcPr>
            <w:tcW w:w="7939" w:type="dxa"/>
            <w:gridSpan w:val="8"/>
            <w:noWrap w:val="0"/>
            <w:vAlign w:val="center"/>
          </w:tcPr>
          <w:p>
            <w:pPr>
              <w:spacing w:line="560" w:lineRule="exact"/>
              <w:ind w:right="600"/>
              <w:jc w:val="right"/>
              <w:rPr>
                <w:rFonts w:hint="eastAsia" w:ascii="仿宋" w:hAnsi="仿宋" w:eastAsia="仿宋" w:cs="仿宋"/>
                <w:color w:val="auto"/>
                <w:sz w:val="24"/>
                <w:szCs w:val="24"/>
              </w:rPr>
            </w:pPr>
          </w:p>
          <w:p>
            <w:pPr>
              <w:spacing w:line="560" w:lineRule="exact"/>
              <w:ind w:right="600"/>
              <w:jc w:val="right"/>
              <w:rPr>
                <w:rFonts w:hint="eastAsia" w:ascii="仿宋" w:hAnsi="仿宋" w:eastAsia="仿宋" w:cs="仿宋"/>
                <w:color w:val="auto"/>
                <w:sz w:val="24"/>
                <w:szCs w:val="24"/>
              </w:rPr>
            </w:pPr>
          </w:p>
          <w:p>
            <w:pPr>
              <w:spacing w:line="560" w:lineRule="exact"/>
              <w:ind w:right="600"/>
              <w:jc w:val="right"/>
              <w:rPr>
                <w:rFonts w:hint="eastAsia" w:ascii="仿宋" w:hAnsi="仿宋" w:eastAsia="仿宋" w:cs="仿宋"/>
                <w:color w:val="auto"/>
                <w:sz w:val="24"/>
                <w:szCs w:val="24"/>
              </w:rPr>
            </w:pPr>
            <w:r>
              <w:rPr>
                <w:rFonts w:hint="eastAsia" w:ascii="仿宋" w:hAnsi="仿宋" w:eastAsia="仿宋" w:cs="仿宋"/>
                <w:color w:val="auto"/>
                <w:sz w:val="24"/>
                <w:szCs w:val="24"/>
              </w:rPr>
              <w:t>（签章）</w:t>
            </w:r>
          </w:p>
          <w:p>
            <w:pPr>
              <w:spacing w:line="560" w:lineRule="exact"/>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jc w:val="center"/>
        </w:trPr>
        <w:tc>
          <w:tcPr>
            <w:tcW w:w="128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审批</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部门</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w:t>
            </w:r>
          </w:p>
        </w:tc>
        <w:tc>
          <w:tcPr>
            <w:tcW w:w="7939" w:type="dxa"/>
            <w:gridSpan w:val="8"/>
            <w:noWrap w:val="0"/>
            <w:vAlign w:val="center"/>
          </w:tcPr>
          <w:p>
            <w:pPr>
              <w:spacing w:line="560" w:lineRule="exact"/>
              <w:ind w:right="600"/>
              <w:jc w:val="right"/>
              <w:rPr>
                <w:rFonts w:hint="eastAsia" w:ascii="仿宋" w:hAnsi="仿宋" w:eastAsia="仿宋" w:cs="仿宋"/>
                <w:color w:val="auto"/>
                <w:sz w:val="24"/>
                <w:szCs w:val="24"/>
              </w:rPr>
            </w:pPr>
          </w:p>
          <w:p>
            <w:pPr>
              <w:spacing w:line="560" w:lineRule="exact"/>
              <w:ind w:right="600"/>
              <w:jc w:val="right"/>
              <w:rPr>
                <w:rFonts w:hint="eastAsia" w:ascii="仿宋" w:hAnsi="仿宋" w:eastAsia="仿宋" w:cs="仿宋"/>
                <w:color w:val="auto"/>
                <w:sz w:val="24"/>
                <w:szCs w:val="24"/>
              </w:rPr>
            </w:pPr>
          </w:p>
          <w:p>
            <w:pPr>
              <w:spacing w:line="560" w:lineRule="exact"/>
              <w:ind w:right="600"/>
              <w:jc w:val="right"/>
              <w:rPr>
                <w:rFonts w:hint="eastAsia" w:ascii="仿宋" w:hAnsi="仿宋" w:eastAsia="仿宋" w:cs="仿宋"/>
                <w:color w:val="auto"/>
                <w:sz w:val="24"/>
                <w:szCs w:val="24"/>
              </w:rPr>
            </w:pPr>
            <w:r>
              <w:rPr>
                <w:rFonts w:hint="eastAsia" w:ascii="仿宋" w:hAnsi="仿宋" w:eastAsia="仿宋" w:cs="仿宋"/>
                <w:color w:val="auto"/>
                <w:sz w:val="24"/>
                <w:szCs w:val="24"/>
              </w:rPr>
              <w:t>（签章）</w:t>
            </w:r>
          </w:p>
          <w:p>
            <w:pPr>
              <w:spacing w:line="560" w:lineRule="exact"/>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tc>
      </w:tr>
    </w:tbl>
    <w:p>
      <w:pPr>
        <w:rPr>
          <w:rFonts w:hint="eastAsia"/>
          <w:color w:val="auto"/>
        </w:rPr>
      </w:pPr>
      <w:r>
        <w:rPr>
          <w:rFonts w:hint="eastAsia"/>
          <w:color w:val="auto"/>
          <w:lang w:eastAsia="zh-CN"/>
        </w:rPr>
        <w:t>党委</w:t>
      </w:r>
      <w:r>
        <w:rPr>
          <w:rFonts w:hint="eastAsia"/>
          <w:color w:val="auto"/>
        </w:rPr>
        <w:t xml:space="preserve">宣传部（新闻中心）制作   </w:t>
      </w:r>
    </w:p>
    <w:p>
      <w:pPr>
        <w:rPr>
          <w:rFonts w:hint="eastAsia"/>
          <w:color w:val="auto"/>
        </w:rPr>
      </w:pPr>
    </w:p>
    <w:p>
      <w:pPr>
        <w:jc w:val="center"/>
        <w:rPr>
          <w:rFonts w:hint="eastAsia" w:ascii="黑体" w:eastAsia="黑体"/>
          <w:color w:val="auto"/>
          <w:sz w:val="36"/>
          <w:szCs w:val="36"/>
        </w:rPr>
      </w:pPr>
      <w:r>
        <w:rPr>
          <w:rFonts w:hint="eastAsia" w:ascii="黑体" w:eastAsia="黑体"/>
          <w:color w:val="auto"/>
          <w:sz w:val="36"/>
          <w:szCs w:val="36"/>
          <w:lang w:eastAsia="zh-CN"/>
        </w:rPr>
        <w:t>（</w:t>
      </w:r>
      <w:r>
        <w:rPr>
          <w:rFonts w:hint="eastAsia" w:ascii="黑体" w:eastAsia="黑体"/>
          <w:color w:val="auto"/>
          <w:sz w:val="36"/>
          <w:szCs w:val="36"/>
          <w:lang w:val="en-US" w:eastAsia="zh-CN"/>
        </w:rPr>
        <w:t>2</w:t>
      </w:r>
      <w:r>
        <w:rPr>
          <w:rFonts w:hint="eastAsia" w:ascii="黑体" w:eastAsia="黑体"/>
          <w:color w:val="auto"/>
          <w:sz w:val="36"/>
          <w:szCs w:val="36"/>
          <w:lang w:eastAsia="zh-CN"/>
        </w:rPr>
        <w:t>）</w:t>
      </w:r>
      <w:r>
        <w:rPr>
          <w:rFonts w:hint="eastAsia" w:ascii="黑体" w:eastAsia="黑体"/>
          <w:color w:val="auto"/>
          <w:sz w:val="36"/>
          <w:szCs w:val="36"/>
        </w:rPr>
        <w:t>云南中医药大学电子屏、横幅使用审批表</w:t>
      </w:r>
    </w:p>
    <w:p>
      <w:pPr>
        <w:spacing w:line="340" w:lineRule="exact"/>
        <w:jc w:val="center"/>
        <w:rPr>
          <w:rFonts w:hint="eastAsia" w:ascii="仿宋" w:hAnsi="仿宋" w:eastAsia="仿宋" w:cs="仿宋"/>
          <w:color w:val="auto"/>
          <w:sz w:val="28"/>
          <w:szCs w:val="28"/>
        </w:rPr>
      </w:pPr>
    </w:p>
    <w:p>
      <w:pPr>
        <w:spacing w:line="340" w:lineRule="exact"/>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电子屏</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横幅</w:t>
      </w:r>
      <w:r>
        <w:rPr>
          <w:rFonts w:hint="eastAsia" w:ascii="仿宋" w:hAnsi="仿宋" w:eastAsia="仿宋" w:cs="仿宋"/>
          <w:color w:val="auto"/>
          <w:sz w:val="28"/>
          <w:szCs w:val="28"/>
          <w:lang w:eastAsia="zh-CN"/>
        </w:rPr>
        <w:t>□</w:t>
      </w:r>
    </w:p>
    <w:tbl>
      <w:tblPr>
        <w:tblStyle w:val="6"/>
        <w:tblpPr w:vertAnchor="page" w:horzAnchor="page" w:tblpXSpec="center" w:tblpY="3507"/>
        <w:tblW w:w="9479" w:type="dxa"/>
        <w:jc w:val="center"/>
        <w:tblInd w:w="0" w:type="dxa"/>
        <w:tblLayout w:type="fixed"/>
        <w:tblCellMar>
          <w:top w:w="0" w:type="dxa"/>
          <w:left w:w="0" w:type="dxa"/>
          <w:bottom w:w="0" w:type="dxa"/>
          <w:right w:w="0" w:type="dxa"/>
        </w:tblCellMar>
      </w:tblPr>
      <w:tblGrid>
        <w:gridCol w:w="2448"/>
        <w:gridCol w:w="1455"/>
        <w:gridCol w:w="1785"/>
        <w:gridCol w:w="1440"/>
        <w:gridCol w:w="2351"/>
      </w:tblGrid>
      <w:tr>
        <w:tblPrEx>
          <w:tblLayout w:type="fixed"/>
          <w:tblCellMar>
            <w:top w:w="0" w:type="dxa"/>
            <w:left w:w="0" w:type="dxa"/>
            <w:bottom w:w="0" w:type="dxa"/>
            <w:right w:w="0" w:type="dxa"/>
          </w:tblCellMar>
        </w:tblPrEx>
        <w:trPr>
          <w:trHeight w:val="737" w:hRule="exac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内容</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737" w:hRule="exac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活动名称</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737" w:hRule="exac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主办单位</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737" w:hRule="exac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时限</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自    年   月   日至    年   月   日</w:t>
            </w:r>
          </w:p>
        </w:tc>
      </w:tr>
      <w:tr>
        <w:tblPrEx>
          <w:tblLayout w:type="fixed"/>
          <w:tblCellMar>
            <w:top w:w="0" w:type="dxa"/>
            <w:left w:w="0" w:type="dxa"/>
            <w:bottom w:w="0" w:type="dxa"/>
            <w:right w:w="0" w:type="dxa"/>
          </w:tblCellMar>
        </w:tblPrEx>
        <w:trPr>
          <w:trHeight w:val="737" w:hRule="exac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使用地点</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737" w:hRule="exac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横幅规格</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（电子屏不填）</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792" w:hRule="exact"/>
          <w:jc w:val="center"/>
        </w:trPr>
        <w:tc>
          <w:tcPr>
            <w:tcW w:w="2448"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联系人</w:t>
            </w:r>
          </w:p>
        </w:tc>
        <w:tc>
          <w:tcPr>
            <w:tcW w:w="14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姓名</w:t>
            </w:r>
          </w:p>
        </w:tc>
        <w:tc>
          <w:tcPr>
            <w:tcW w:w="17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14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c>
          <w:tcPr>
            <w:tcW w:w="2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手机</w:t>
            </w:r>
          </w:p>
        </w:tc>
      </w:tr>
      <w:tr>
        <w:tblPrEx>
          <w:tblLayout w:type="fixed"/>
          <w:tblCellMar>
            <w:top w:w="0" w:type="dxa"/>
            <w:left w:w="0" w:type="dxa"/>
            <w:bottom w:w="0" w:type="dxa"/>
            <w:right w:w="0" w:type="dxa"/>
          </w:tblCellMar>
        </w:tblPrEx>
        <w:trPr>
          <w:trHeight w:val="737" w:hRule="exact"/>
          <w:jc w:val="center"/>
        </w:trPr>
        <w:tc>
          <w:tcPr>
            <w:tcW w:w="2448"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c>
          <w:tcPr>
            <w:tcW w:w="14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c>
          <w:tcPr>
            <w:tcW w:w="17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c>
          <w:tcPr>
            <w:tcW w:w="23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965" w:hRule="atLeas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　申请单位意见</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917" w:hRule="atLeas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宣传部意见</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color w:val="auto"/>
                <w:sz w:val="24"/>
                <w:szCs w:val="24"/>
              </w:rPr>
            </w:pPr>
          </w:p>
        </w:tc>
      </w:tr>
      <w:tr>
        <w:tblPrEx>
          <w:tblLayout w:type="fixed"/>
          <w:tblCellMar>
            <w:top w:w="0" w:type="dxa"/>
            <w:left w:w="0" w:type="dxa"/>
            <w:bottom w:w="0" w:type="dxa"/>
            <w:right w:w="0" w:type="dxa"/>
          </w:tblCellMar>
        </w:tblPrEx>
        <w:trPr>
          <w:trHeight w:val="1013" w:hRule="atLeast"/>
          <w:jc w:val="center"/>
        </w:trPr>
        <w:tc>
          <w:tcPr>
            <w:tcW w:w="2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保卫处意见</w:t>
            </w:r>
          </w:p>
        </w:tc>
        <w:tc>
          <w:tcPr>
            <w:tcW w:w="703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 w:hAnsi="仿宋" w:eastAsia="仿宋" w:cs="仿宋"/>
                <w:color w:val="auto"/>
                <w:sz w:val="24"/>
                <w:szCs w:val="24"/>
              </w:rPr>
            </w:pPr>
          </w:p>
        </w:tc>
      </w:tr>
    </w:tbl>
    <w:p>
      <w:pPr>
        <w:rPr>
          <w:rFonts w:hint="eastAsia" w:ascii="仿宋" w:hAnsi="仿宋" w:eastAsia="仿宋" w:cs="仿宋"/>
          <w:color w:val="auto"/>
        </w:rPr>
      </w:pPr>
      <w:r>
        <w:rPr>
          <w:rFonts w:hint="eastAsia" w:ascii="仿宋" w:hAnsi="仿宋" w:eastAsia="仿宋" w:cs="仿宋"/>
          <w:color w:val="auto"/>
        </w:rPr>
        <w:t xml:space="preserve">党校宣传部（新闻中心）制作   </w:t>
      </w:r>
    </w:p>
    <w:p>
      <w:pPr>
        <w:spacing w:line="340" w:lineRule="exact"/>
        <w:rPr>
          <w:rFonts w:hint="eastAsia" w:ascii="宋体" w:hAnsi="宋体" w:cs="宋体"/>
          <w:color w:val="auto"/>
          <w:sz w:val="24"/>
          <w:szCs w:val="24"/>
        </w:rPr>
      </w:pPr>
    </w:p>
    <w:p>
      <w:pPr>
        <w:spacing w:line="3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注：1、为营造良好的校园文化环境，原则上禁止悬挂横幅。若须悬挂，请按要求审批并做好时限内悬挂管理工作；</w:t>
      </w:r>
    </w:p>
    <w:p>
      <w:pPr>
        <w:spacing w:line="3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2、申请表须一式3份，请提前2天送宣传部、保卫处审批，审批后申请单位、宣传部、保卫处各留1份；</w:t>
      </w:r>
    </w:p>
    <w:p>
      <w:pPr>
        <w:spacing w:line="340" w:lineRule="exact"/>
        <w:ind w:firstLine="47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3、各学生组织、学生社团的申请须经学工部或校团委审核后报宣传部、保卫处审批。</w:t>
      </w:r>
    </w:p>
    <w:p>
      <w:pPr>
        <w:spacing w:line="340" w:lineRule="exact"/>
        <w:ind w:firstLine="472"/>
        <w:rPr>
          <w:rFonts w:hint="eastAsia" w:ascii="仿宋_GB2312" w:hAnsi="Times New Roman" w:eastAsia="仿宋_GB2312"/>
          <w:color w:val="auto"/>
          <w:sz w:val="24"/>
        </w:rPr>
      </w:pPr>
    </w:p>
    <w:p>
      <w:pPr>
        <w:pStyle w:val="5"/>
        <w:numPr>
          <w:ilvl w:val="0"/>
          <w:numId w:val="0"/>
        </w:numPr>
        <w:spacing w:line="240" w:lineRule="auto"/>
        <w:jc w:val="left"/>
        <w:rPr>
          <w:rFonts w:hint="eastAsia"/>
          <w:color w:val="auto"/>
          <w:sz w:val="44"/>
          <w:szCs w:val="44"/>
        </w:rPr>
      </w:pPr>
    </w:p>
    <w:p>
      <w:pPr>
        <w:rPr>
          <w:rFonts w:hint="eastAsia"/>
          <w:color w:val="auto"/>
        </w:rPr>
      </w:pPr>
    </w:p>
    <w:p>
      <w:pPr>
        <w:jc w:val="center"/>
        <w:rPr>
          <w:rFonts w:hint="eastAsia" w:ascii="黑体" w:eastAsia="黑体"/>
          <w:color w:val="auto"/>
          <w:sz w:val="36"/>
          <w:szCs w:val="36"/>
        </w:rPr>
      </w:pPr>
      <w:r>
        <w:rPr>
          <w:rFonts w:hint="eastAsia" w:ascii="黑体" w:eastAsia="黑体"/>
          <w:color w:val="auto"/>
          <w:sz w:val="36"/>
          <w:szCs w:val="36"/>
          <w:lang w:eastAsia="zh-CN"/>
        </w:rPr>
        <w:t>（</w:t>
      </w:r>
      <w:r>
        <w:rPr>
          <w:rFonts w:hint="eastAsia" w:ascii="黑体" w:eastAsia="黑体"/>
          <w:color w:val="auto"/>
          <w:sz w:val="36"/>
          <w:szCs w:val="36"/>
          <w:lang w:val="en-US" w:eastAsia="zh-CN"/>
        </w:rPr>
        <w:t>3</w:t>
      </w:r>
      <w:r>
        <w:rPr>
          <w:rFonts w:hint="eastAsia" w:ascii="黑体" w:eastAsia="黑体"/>
          <w:color w:val="auto"/>
          <w:sz w:val="36"/>
          <w:szCs w:val="36"/>
          <w:lang w:eastAsia="zh-CN"/>
        </w:rPr>
        <w:t>）</w:t>
      </w:r>
      <w:r>
        <w:rPr>
          <w:rFonts w:hint="eastAsia" w:ascii="黑体" w:eastAsia="黑体"/>
          <w:color w:val="auto"/>
          <w:sz w:val="36"/>
          <w:szCs w:val="36"/>
        </w:rPr>
        <w:t>云南中医药大学新闻采访与媒体活动管理登记表</w:t>
      </w:r>
    </w:p>
    <w:tbl>
      <w:tblPr>
        <w:tblStyle w:val="6"/>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428"/>
        <w:gridCol w:w="885"/>
        <w:gridCol w:w="273"/>
        <w:gridCol w:w="1000"/>
        <w:gridCol w:w="878"/>
        <w:gridCol w:w="393"/>
        <w:gridCol w:w="444"/>
        <w:gridCol w:w="485"/>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391" w:type="dxa"/>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采访部门</w:t>
            </w:r>
          </w:p>
        </w:tc>
        <w:tc>
          <w:tcPr>
            <w:tcW w:w="2586" w:type="dxa"/>
            <w:gridSpan w:val="3"/>
            <w:noWrap w:val="0"/>
            <w:vAlign w:val="center"/>
          </w:tcPr>
          <w:p>
            <w:pPr>
              <w:spacing w:line="400" w:lineRule="exact"/>
              <w:jc w:val="center"/>
              <w:rPr>
                <w:rFonts w:hint="eastAsia" w:ascii="仿宋" w:hAnsi="仿宋" w:eastAsia="仿宋" w:cs="仿宋"/>
                <w:color w:val="auto"/>
                <w:sz w:val="24"/>
                <w:szCs w:val="24"/>
              </w:rPr>
            </w:pPr>
          </w:p>
        </w:tc>
        <w:tc>
          <w:tcPr>
            <w:tcW w:w="1000" w:type="dxa"/>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负责人</w:t>
            </w:r>
          </w:p>
        </w:tc>
        <w:tc>
          <w:tcPr>
            <w:tcW w:w="1271" w:type="dxa"/>
            <w:gridSpan w:val="2"/>
            <w:noWrap w:val="0"/>
            <w:vAlign w:val="center"/>
          </w:tcPr>
          <w:p>
            <w:pPr>
              <w:spacing w:line="400" w:lineRule="exact"/>
              <w:jc w:val="center"/>
              <w:rPr>
                <w:rFonts w:hint="eastAsia" w:ascii="仿宋" w:hAnsi="仿宋" w:eastAsia="仿宋" w:cs="仿宋"/>
                <w:color w:val="auto"/>
                <w:sz w:val="24"/>
                <w:szCs w:val="24"/>
              </w:rPr>
            </w:pPr>
          </w:p>
          <w:p>
            <w:pPr>
              <w:spacing w:line="400" w:lineRule="exact"/>
              <w:jc w:val="center"/>
              <w:rPr>
                <w:rFonts w:hint="eastAsia" w:ascii="仿宋" w:hAnsi="仿宋" w:eastAsia="仿宋" w:cs="仿宋"/>
                <w:color w:val="auto"/>
                <w:sz w:val="24"/>
                <w:szCs w:val="24"/>
              </w:rPr>
            </w:pPr>
          </w:p>
        </w:tc>
        <w:tc>
          <w:tcPr>
            <w:tcW w:w="929" w:type="dxa"/>
            <w:gridSpan w:val="2"/>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c>
          <w:tcPr>
            <w:tcW w:w="1261" w:type="dxa"/>
            <w:noWrap w:val="0"/>
            <w:vAlign w:val="center"/>
          </w:tcPr>
          <w:p>
            <w:pPr>
              <w:spacing w:line="400" w:lineRule="exact"/>
              <w:jc w:val="center"/>
              <w:rPr>
                <w:rFonts w:hint="eastAsia" w:ascii="仿宋" w:hAnsi="仿宋" w:eastAsia="仿宋" w:cs="仿宋"/>
                <w:color w:val="auto"/>
                <w:sz w:val="24"/>
                <w:szCs w:val="24"/>
              </w:rPr>
            </w:pPr>
          </w:p>
          <w:p>
            <w:pPr>
              <w:spacing w:line="40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39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来访媒体单位</w:t>
            </w:r>
          </w:p>
        </w:tc>
        <w:tc>
          <w:tcPr>
            <w:tcW w:w="7047" w:type="dxa"/>
            <w:gridSpan w:val="9"/>
            <w:noWrap w:val="0"/>
            <w:vAlign w:val="center"/>
          </w:tcPr>
          <w:p>
            <w:pPr>
              <w:spacing w:line="40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39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采访地点</w:t>
            </w:r>
          </w:p>
        </w:tc>
        <w:tc>
          <w:tcPr>
            <w:tcW w:w="7047" w:type="dxa"/>
            <w:gridSpan w:val="9"/>
            <w:noWrap w:val="0"/>
            <w:vAlign w:val="center"/>
          </w:tcPr>
          <w:p>
            <w:pPr>
              <w:spacing w:line="40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1391" w:type="dxa"/>
            <w:noWrap w:val="0"/>
            <w:vAlign w:val="center"/>
          </w:tcPr>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采访对象</w:t>
            </w:r>
          </w:p>
        </w:tc>
        <w:tc>
          <w:tcPr>
            <w:tcW w:w="7047" w:type="dxa"/>
            <w:gridSpan w:val="9"/>
            <w:noWrap w:val="0"/>
            <w:vAlign w:val="center"/>
          </w:tcPr>
          <w:p>
            <w:pPr>
              <w:spacing w:line="48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1" w:type="dxa"/>
            <w:noWrap w:val="0"/>
            <w:vAlign w:val="center"/>
          </w:tcPr>
          <w:p>
            <w:pPr>
              <w:spacing w:line="560" w:lineRule="exact"/>
              <w:jc w:val="center"/>
              <w:rPr>
                <w:rFonts w:hint="eastAsia" w:ascii="仿宋" w:hAnsi="仿宋" w:eastAsia="仿宋" w:cs="仿宋"/>
                <w:color w:val="auto"/>
                <w:sz w:val="24"/>
                <w:szCs w:val="24"/>
              </w:rPr>
            </w:pP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内容</w:t>
            </w:r>
          </w:p>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摘要</w:t>
            </w:r>
          </w:p>
          <w:p>
            <w:pPr>
              <w:spacing w:line="480" w:lineRule="exact"/>
              <w:jc w:val="center"/>
              <w:rPr>
                <w:rFonts w:hint="eastAsia" w:ascii="仿宋" w:hAnsi="仿宋" w:eastAsia="仿宋" w:cs="仿宋"/>
                <w:color w:val="auto"/>
                <w:sz w:val="24"/>
                <w:szCs w:val="24"/>
              </w:rPr>
            </w:pPr>
          </w:p>
          <w:p>
            <w:pPr>
              <w:spacing w:line="480" w:lineRule="exact"/>
              <w:jc w:val="center"/>
              <w:rPr>
                <w:rFonts w:hint="eastAsia" w:ascii="仿宋" w:hAnsi="仿宋" w:eastAsia="仿宋" w:cs="仿宋"/>
                <w:color w:val="auto"/>
                <w:sz w:val="24"/>
                <w:szCs w:val="24"/>
              </w:rPr>
            </w:pPr>
          </w:p>
          <w:p>
            <w:pPr>
              <w:spacing w:line="480" w:lineRule="exact"/>
              <w:jc w:val="center"/>
              <w:rPr>
                <w:rFonts w:hint="eastAsia" w:ascii="仿宋" w:hAnsi="仿宋" w:eastAsia="仿宋" w:cs="仿宋"/>
                <w:color w:val="auto"/>
                <w:sz w:val="24"/>
                <w:szCs w:val="24"/>
              </w:rPr>
            </w:pPr>
          </w:p>
        </w:tc>
        <w:tc>
          <w:tcPr>
            <w:tcW w:w="7047" w:type="dxa"/>
            <w:gridSpan w:val="9"/>
            <w:noWrap w:val="0"/>
            <w:vAlign w:val="center"/>
          </w:tcPr>
          <w:p>
            <w:pPr>
              <w:spacing w:line="48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1" w:type="dxa"/>
            <w:noWrap w:val="0"/>
            <w:vAlign w:val="center"/>
          </w:tcPr>
          <w:p>
            <w:pPr>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填表人</w:t>
            </w:r>
          </w:p>
        </w:tc>
        <w:tc>
          <w:tcPr>
            <w:tcW w:w="1428" w:type="dxa"/>
            <w:noWrap w:val="0"/>
            <w:vAlign w:val="center"/>
          </w:tcPr>
          <w:p>
            <w:pPr>
              <w:spacing w:line="440" w:lineRule="exact"/>
              <w:jc w:val="center"/>
              <w:rPr>
                <w:rFonts w:hint="eastAsia" w:ascii="仿宋" w:hAnsi="仿宋" w:eastAsia="仿宋" w:cs="仿宋"/>
                <w:color w:val="auto"/>
                <w:sz w:val="24"/>
                <w:szCs w:val="24"/>
              </w:rPr>
            </w:pPr>
          </w:p>
        </w:tc>
        <w:tc>
          <w:tcPr>
            <w:tcW w:w="885" w:type="dxa"/>
            <w:noWrap w:val="0"/>
            <w:vAlign w:val="center"/>
          </w:tcPr>
          <w:p>
            <w:pPr>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c>
          <w:tcPr>
            <w:tcW w:w="2151" w:type="dxa"/>
            <w:gridSpan w:val="3"/>
            <w:noWrap w:val="0"/>
            <w:vAlign w:val="center"/>
          </w:tcPr>
          <w:p>
            <w:pPr>
              <w:spacing w:line="440" w:lineRule="exact"/>
              <w:jc w:val="center"/>
              <w:rPr>
                <w:rFonts w:hint="eastAsia" w:ascii="仿宋" w:hAnsi="仿宋" w:eastAsia="仿宋" w:cs="仿宋"/>
                <w:color w:val="auto"/>
                <w:sz w:val="24"/>
                <w:szCs w:val="24"/>
              </w:rPr>
            </w:pPr>
          </w:p>
        </w:tc>
        <w:tc>
          <w:tcPr>
            <w:tcW w:w="837" w:type="dxa"/>
            <w:gridSpan w:val="2"/>
            <w:noWrap w:val="0"/>
            <w:vAlign w:val="center"/>
          </w:tcPr>
          <w:p>
            <w:pPr>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1746" w:type="dxa"/>
            <w:gridSpan w:val="2"/>
            <w:noWrap w:val="0"/>
            <w:vAlign w:val="center"/>
          </w:tcPr>
          <w:p>
            <w:pPr>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139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主办</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w:t>
            </w:r>
          </w:p>
        </w:tc>
        <w:tc>
          <w:tcPr>
            <w:tcW w:w="7047" w:type="dxa"/>
            <w:gridSpan w:val="9"/>
            <w:noWrap w:val="0"/>
            <w:vAlign w:val="center"/>
          </w:tcPr>
          <w:p>
            <w:pPr>
              <w:spacing w:line="560" w:lineRule="exact"/>
              <w:ind w:right="600"/>
              <w:jc w:val="right"/>
              <w:rPr>
                <w:rFonts w:hint="eastAsia" w:ascii="仿宋" w:hAnsi="仿宋" w:eastAsia="仿宋" w:cs="仿宋"/>
                <w:color w:val="auto"/>
                <w:sz w:val="24"/>
                <w:szCs w:val="24"/>
              </w:rPr>
            </w:pPr>
          </w:p>
          <w:p>
            <w:pPr>
              <w:spacing w:line="560" w:lineRule="exact"/>
              <w:ind w:right="600"/>
              <w:jc w:val="right"/>
              <w:rPr>
                <w:rFonts w:hint="eastAsia" w:ascii="仿宋" w:hAnsi="仿宋" w:eastAsia="仿宋" w:cs="仿宋"/>
                <w:color w:val="auto"/>
                <w:sz w:val="24"/>
                <w:szCs w:val="24"/>
              </w:rPr>
            </w:pPr>
          </w:p>
          <w:p>
            <w:pPr>
              <w:spacing w:line="560" w:lineRule="exact"/>
              <w:ind w:right="600"/>
              <w:jc w:val="right"/>
              <w:rPr>
                <w:rFonts w:hint="eastAsia" w:ascii="仿宋" w:hAnsi="仿宋" w:eastAsia="仿宋" w:cs="仿宋"/>
                <w:color w:val="auto"/>
                <w:sz w:val="24"/>
                <w:szCs w:val="24"/>
              </w:rPr>
            </w:pPr>
            <w:r>
              <w:rPr>
                <w:rFonts w:hint="eastAsia" w:ascii="仿宋" w:hAnsi="仿宋" w:eastAsia="仿宋" w:cs="仿宋"/>
                <w:color w:val="auto"/>
                <w:sz w:val="24"/>
                <w:szCs w:val="24"/>
              </w:rPr>
              <w:t>（签章）</w:t>
            </w:r>
          </w:p>
          <w:p>
            <w:pPr>
              <w:spacing w:line="560" w:lineRule="exact"/>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jc w:val="center"/>
        </w:trPr>
        <w:tc>
          <w:tcPr>
            <w:tcW w:w="139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审批</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部门</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w:t>
            </w:r>
          </w:p>
        </w:tc>
        <w:tc>
          <w:tcPr>
            <w:tcW w:w="7047" w:type="dxa"/>
            <w:gridSpan w:val="9"/>
            <w:noWrap w:val="0"/>
            <w:vAlign w:val="center"/>
          </w:tcPr>
          <w:p>
            <w:pPr>
              <w:spacing w:line="560" w:lineRule="exact"/>
              <w:ind w:right="600"/>
              <w:jc w:val="right"/>
              <w:rPr>
                <w:rFonts w:hint="eastAsia" w:ascii="仿宋" w:hAnsi="仿宋" w:eastAsia="仿宋" w:cs="仿宋"/>
                <w:color w:val="auto"/>
                <w:sz w:val="24"/>
                <w:szCs w:val="24"/>
              </w:rPr>
            </w:pPr>
          </w:p>
          <w:p>
            <w:pPr>
              <w:spacing w:line="560" w:lineRule="exact"/>
              <w:ind w:right="600"/>
              <w:jc w:val="right"/>
              <w:rPr>
                <w:rFonts w:hint="eastAsia" w:ascii="仿宋" w:hAnsi="仿宋" w:eastAsia="仿宋" w:cs="仿宋"/>
                <w:color w:val="auto"/>
                <w:sz w:val="24"/>
                <w:szCs w:val="24"/>
              </w:rPr>
            </w:pPr>
          </w:p>
          <w:p>
            <w:pPr>
              <w:spacing w:line="560" w:lineRule="exact"/>
              <w:ind w:right="600"/>
              <w:jc w:val="right"/>
              <w:rPr>
                <w:rFonts w:hint="eastAsia" w:ascii="仿宋" w:hAnsi="仿宋" w:eastAsia="仿宋" w:cs="仿宋"/>
                <w:color w:val="auto"/>
                <w:sz w:val="24"/>
                <w:szCs w:val="24"/>
              </w:rPr>
            </w:pPr>
            <w:r>
              <w:rPr>
                <w:rFonts w:hint="eastAsia" w:ascii="仿宋" w:hAnsi="仿宋" w:eastAsia="仿宋" w:cs="仿宋"/>
                <w:color w:val="auto"/>
                <w:sz w:val="24"/>
                <w:szCs w:val="24"/>
              </w:rPr>
              <w:t>（签章）</w:t>
            </w:r>
          </w:p>
          <w:p>
            <w:pPr>
              <w:spacing w:line="560" w:lineRule="exact"/>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tc>
      </w:tr>
    </w:tbl>
    <w:p>
      <w:pPr>
        <w:ind w:firstLine="210" w:firstLineChars="100"/>
        <w:rPr>
          <w:rFonts w:hint="eastAsia"/>
          <w:color w:val="auto"/>
        </w:rPr>
      </w:pPr>
      <w:r>
        <w:rPr>
          <w:rFonts w:hint="eastAsia"/>
          <w:color w:val="auto"/>
          <w:lang w:eastAsia="zh-CN"/>
        </w:rPr>
        <w:t>党委</w:t>
      </w:r>
      <w:r>
        <w:rPr>
          <w:rFonts w:hint="eastAsia"/>
          <w:color w:val="auto"/>
        </w:rPr>
        <w:t xml:space="preserve">宣传部（新闻中心）制作  </w:t>
      </w:r>
    </w:p>
    <w:p>
      <w:pPr>
        <w:jc w:val="center"/>
        <w:rPr>
          <w:rFonts w:hint="eastAsia" w:ascii="黑体" w:eastAsia="黑体"/>
          <w:color w:val="auto"/>
          <w:sz w:val="36"/>
          <w:szCs w:val="36"/>
          <w:lang w:eastAsia="zh-CN"/>
        </w:rPr>
      </w:pPr>
    </w:p>
    <w:p>
      <w:pPr>
        <w:jc w:val="center"/>
        <w:rPr>
          <w:rFonts w:hint="eastAsia" w:ascii="黑体" w:eastAsia="黑体"/>
          <w:color w:val="auto"/>
          <w:sz w:val="36"/>
          <w:szCs w:val="36"/>
        </w:rPr>
      </w:pPr>
      <w:r>
        <w:rPr>
          <w:rFonts w:hint="eastAsia" w:ascii="黑体" w:eastAsia="黑体"/>
          <w:color w:val="auto"/>
          <w:sz w:val="36"/>
          <w:szCs w:val="36"/>
          <w:lang w:eastAsia="zh-CN"/>
        </w:rPr>
        <w:t>（</w:t>
      </w:r>
      <w:r>
        <w:rPr>
          <w:rFonts w:hint="eastAsia" w:ascii="黑体" w:eastAsia="黑体"/>
          <w:color w:val="auto"/>
          <w:sz w:val="36"/>
          <w:szCs w:val="36"/>
          <w:lang w:val="en-US" w:eastAsia="zh-CN"/>
        </w:rPr>
        <w:t>4</w:t>
      </w:r>
      <w:r>
        <w:rPr>
          <w:rFonts w:hint="eastAsia" w:ascii="黑体" w:eastAsia="黑体"/>
          <w:color w:val="auto"/>
          <w:sz w:val="36"/>
          <w:szCs w:val="36"/>
          <w:lang w:eastAsia="zh-CN"/>
        </w:rPr>
        <w:t>）</w:t>
      </w:r>
      <w:r>
        <w:rPr>
          <w:rFonts w:hint="eastAsia" w:ascii="黑体" w:eastAsia="黑体"/>
          <w:color w:val="auto"/>
          <w:sz w:val="36"/>
          <w:szCs w:val="36"/>
        </w:rPr>
        <w:t>云南中医药大学师生理论教育与政治学习检查登记表</w:t>
      </w:r>
    </w:p>
    <w:p>
      <w:pPr>
        <w:spacing w:line="560" w:lineRule="exact"/>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tbl>
      <w:tblPr>
        <w:tblStyle w:val="6"/>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3025"/>
        <w:gridCol w:w="151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单位（部门）</w:t>
            </w:r>
          </w:p>
        </w:tc>
        <w:tc>
          <w:tcPr>
            <w:tcW w:w="3025" w:type="dxa"/>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c>
          <w:tcPr>
            <w:tcW w:w="1510"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学习时间</w:t>
            </w:r>
          </w:p>
        </w:tc>
        <w:tc>
          <w:tcPr>
            <w:tcW w:w="3020"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学习地点</w:t>
            </w:r>
          </w:p>
        </w:tc>
        <w:tc>
          <w:tcPr>
            <w:tcW w:w="3025" w:type="dxa"/>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c>
          <w:tcPr>
            <w:tcW w:w="1510"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主持人</w:t>
            </w:r>
          </w:p>
        </w:tc>
        <w:tc>
          <w:tcPr>
            <w:tcW w:w="3020" w:type="dxa"/>
            <w:noWrap w:val="0"/>
            <w:vAlign w:val="center"/>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参会人员</w:t>
            </w:r>
          </w:p>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范围、人数</w:t>
            </w:r>
          </w:p>
        </w:tc>
        <w:tc>
          <w:tcPr>
            <w:tcW w:w="7555" w:type="dxa"/>
            <w:gridSpan w:val="3"/>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主要发言人</w:t>
            </w:r>
          </w:p>
        </w:tc>
        <w:tc>
          <w:tcPr>
            <w:tcW w:w="7555" w:type="dxa"/>
            <w:gridSpan w:val="3"/>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学习主题</w:t>
            </w:r>
          </w:p>
        </w:tc>
        <w:tc>
          <w:tcPr>
            <w:tcW w:w="7555" w:type="dxa"/>
            <w:gridSpan w:val="3"/>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学习形式</w:t>
            </w:r>
          </w:p>
        </w:tc>
        <w:tc>
          <w:tcPr>
            <w:tcW w:w="7555" w:type="dxa"/>
            <w:gridSpan w:val="3"/>
            <w:noWrap w:val="0"/>
            <w:vAlign w:val="center"/>
          </w:tcPr>
          <w:p>
            <w:pPr>
              <w:spacing w:line="4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精读文件</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专题讨论</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观看视频</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辅导讲座</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专题报告</w:t>
            </w:r>
            <w:r>
              <w:rPr>
                <w:rFonts w:hint="eastAsia" w:ascii="仿宋" w:hAnsi="仿宋" w:eastAsia="仿宋" w:cs="仿宋"/>
                <w:color w:val="auto"/>
                <w:sz w:val="24"/>
                <w:szCs w:val="24"/>
              </w:rPr>
              <w:sym w:font="Wingdings 2" w:char="00A3"/>
            </w:r>
          </w:p>
          <w:p>
            <w:pPr>
              <w:spacing w:line="4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经验交流</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调研考察</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其他</w:t>
            </w:r>
            <w:r>
              <w:rPr>
                <w:rFonts w:hint="eastAsia" w:ascii="仿宋" w:hAnsi="仿宋" w:eastAsia="仿宋" w:cs="仿宋"/>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学习情况</w:t>
            </w:r>
          </w:p>
        </w:tc>
        <w:tc>
          <w:tcPr>
            <w:tcW w:w="7555" w:type="dxa"/>
            <w:gridSpan w:val="3"/>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意见、建议</w:t>
            </w:r>
          </w:p>
        </w:tc>
        <w:tc>
          <w:tcPr>
            <w:tcW w:w="7555" w:type="dxa"/>
            <w:gridSpan w:val="3"/>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7555" w:type="dxa"/>
            <w:gridSpan w:val="3"/>
            <w:noWrap w:val="0"/>
            <w:vAlign w:val="center"/>
          </w:tcPr>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62"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检查人员签字</w:t>
            </w:r>
          </w:p>
        </w:tc>
        <w:tc>
          <w:tcPr>
            <w:tcW w:w="7555" w:type="dxa"/>
            <w:gridSpan w:val="3"/>
            <w:noWrap w:val="0"/>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校领导：                 职能部门：</w:t>
            </w: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7" w:type="dxa"/>
            <w:gridSpan w:val="4"/>
            <w:noWrap w:val="0"/>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被检单位（部门）负责人签字：</w:t>
            </w:r>
          </w:p>
          <w:p>
            <w:pPr>
              <w:jc w:val="center"/>
              <w:rPr>
                <w:rFonts w:hint="eastAsia" w:ascii="仿宋" w:hAnsi="仿宋" w:eastAsia="仿宋" w:cs="仿宋"/>
                <w:color w:val="auto"/>
                <w:sz w:val="24"/>
                <w:szCs w:val="24"/>
              </w:rPr>
            </w:pPr>
          </w:p>
          <w:p>
            <w:pPr>
              <w:jc w:val="center"/>
              <w:rPr>
                <w:rFonts w:hint="eastAsia" w:ascii="仿宋" w:hAnsi="仿宋" w:eastAsia="仿宋" w:cs="仿宋"/>
                <w:color w:val="auto"/>
                <w:sz w:val="24"/>
                <w:szCs w:val="24"/>
              </w:rPr>
            </w:pPr>
          </w:p>
        </w:tc>
      </w:tr>
    </w:tbl>
    <w:p>
      <w:pPr>
        <w:rPr>
          <w:color w:val="auto"/>
        </w:rPr>
      </w:pPr>
      <w:r>
        <w:rPr>
          <w:rFonts w:hint="eastAsia"/>
          <w:color w:val="auto"/>
          <w:lang w:eastAsia="zh-CN"/>
        </w:rPr>
        <w:t>党委</w:t>
      </w:r>
      <w:r>
        <w:rPr>
          <w:rFonts w:hint="eastAsia"/>
          <w:color w:val="auto"/>
        </w:rPr>
        <w:t xml:space="preserve">宣传部（新闻中心）制作   </w:t>
      </w:r>
    </w:p>
    <w:p>
      <w:pPr>
        <w:rPr>
          <w:rFonts w:hint="eastAsia"/>
          <w:color w:val="auto"/>
          <w:sz w:val="44"/>
          <w:szCs w:val="44"/>
        </w:rPr>
      </w:pPr>
    </w:p>
    <w:tbl>
      <w:tblPr>
        <w:tblStyle w:val="6"/>
        <w:tblW w:w="9656" w:type="dxa"/>
        <w:jc w:val="center"/>
        <w:tblInd w:w="0" w:type="dxa"/>
        <w:tblLayout w:type="fixed"/>
        <w:tblCellMar>
          <w:top w:w="15" w:type="dxa"/>
          <w:left w:w="15" w:type="dxa"/>
          <w:bottom w:w="15" w:type="dxa"/>
          <w:right w:w="15" w:type="dxa"/>
        </w:tblCellMar>
      </w:tblPr>
      <w:tblGrid>
        <w:gridCol w:w="2405"/>
        <w:gridCol w:w="5019"/>
        <w:gridCol w:w="2232"/>
      </w:tblGrid>
      <w:tr>
        <w:tblPrEx>
          <w:tblLayout w:type="fixed"/>
          <w:tblCellMar>
            <w:top w:w="15" w:type="dxa"/>
            <w:left w:w="15" w:type="dxa"/>
            <w:bottom w:w="15" w:type="dxa"/>
            <w:right w:w="15" w:type="dxa"/>
          </w:tblCellMar>
        </w:tblPrEx>
        <w:trPr>
          <w:trHeight w:val="286" w:hRule="atLeast"/>
          <w:jc w:val="center"/>
        </w:trPr>
        <w:tc>
          <w:tcPr>
            <w:tcW w:w="9656" w:type="dxa"/>
            <w:gridSpan w:val="3"/>
            <w:noWrap w:val="0"/>
            <w:vAlign w:val="center"/>
          </w:tcPr>
          <w:p>
            <w:pPr>
              <w:widowControl/>
              <w:jc w:val="center"/>
              <w:textAlignment w:val="center"/>
              <w:rPr>
                <w:rFonts w:hint="eastAsia" w:ascii="仿宋" w:hAnsi="仿宋" w:eastAsia="仿宋" w:cs="仿宋"/>
                <w:color w:val="auto"/>
                <w:sz w:val="40"/>
                <w:szCs w:val="40"/>
              </w:rPr>
            </w:pPr>
            <w:r>
              <w:rPr>
                <w:rFonts w:hint="eastAsia" w:ascii="黑体" w:hAnsi="黑体" w:eastAsia="黑体" w:cs="黑体"/>
                <w:color w:val="auto"/>
                <w:sz w:val="36"/>
                <w:szCs w:val="36"/>
                <w:lang w:eastAsia="zh-CN"/>
              </w:rPr>
              <w:t>（</w:t>
            </w:r>
            <w:r>
              <w:rPr>
                <w:rFonts w:hint="eastAsia" w:ascii="黑体" w:hAnsi="黑体" w:eastAsia="黑体" w:cs="黑体"/>
                <w:color w:val="auto"/>
                <w:sz w:val="36"/>
                <w:szCs w:val="36"/>
                <w:lang w:val="en-US" w:eastAsia="zh-CN"/>
              </w:rPr>
              <w:t>5</w:t>
            </w:r>
            <w:r>
              <w:rPr>
                <w:rFonts w:hint="eastAsia" w:ascii="黑体" w:hAnsi="黑体" w:eastAsia="黑体" w:cs="黑体"/>
                <w:color w:val="auto"/>
                <w:sz w:val="36"/>
                <w:szCs w:val="36"/>
                <w:lang w:eastAsia="zh-CN"/>
              </w:rPr>
              <w:t>）</w:t>
            </w:r>
            <w:r>
              <w:rPr>
                <w:rFonts w:hint="eastAsia" w:ascii="黑体" w:hAnsi="黑体" w:eastAsia="黑体" w:cs="黑体"/>
                <w:color w:val="auto"/>
                <w:sz w:val="36"/>
                <w:szCs w:val="36"/>
              </w:rPr>
              <w:t>云南中医药大学师生政治理论学习季度报表</w:t>
            </w:r>
          </w:p>
        </w:tc>
      </w:tr>
      <w:tr>
        <w:tblPrEx>
          <w:tblLayout w:type="fixed"/>
          <w:tblCellMar>
            <w:top w:w="15" w:type="dxa"/>
            <w:left w:w="15" w:type="dxa"/>
            <w:bottom w:w="15" w:type="dxa"/>
            <w:right w:w="15" w:type="dxa"/>
          </w:tblCellMar>
        </w:tblPrEx>
        <w:trPr>
          <w:trHeight w:val="435" w:hRule="atLeast"/>
          <w:jc w:val="center"/>
        </w:trPr>
        <w:tc>
          <w:tcPr>
            <w:tcW w:w="2405" w:type="dxa"/>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单位（部门）名称：</w:t>
            </w:r>
          </w:p>
        </w:tc>
        <w:tc>
          <w:tcPr>
            <w:tcW w:w="7251" w:type="dxa"/>
            <w:gridSpan w:val="2"/>
            <w:noWrap w:val="0"/>
            <w:vAlign w:val="center"/>
          </w:tcPr>
          <w:p>
            <w:pPr>
              <w:widowControl/>
              <w:spacing w:line="240" w:lineRule="exact"/>
              <w:ind w:firstLine="720" w:firstLineChars="300"/>
              <w:jc w:val="righ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w:t>
            </w:r>
            <w:r>
              <w:rPr>
                <w:rFonts w:hint="eastAsia" w:ascii="仿宋" w:hAnsi="仿宋" w:eastAsia="仿宋" w:cs="仿宋"/>
                <w:color w:val="auto"/>
                <w:kern w:val="0"/>
                <w:sz w:val="24"/>
                <w:szCs w:val="24"/>
                <w:u w:val="single"/>
                <w:lang w:bidi="ar"/>
              </w:rPr>
              <w:t xml:space="preserve">        </w:t>
            </w:r>
            <w:r>
              <w:rPr>
                <w:rFonts w:hint="eastAsia" w:ascii="仿宋" w:hAnsi="仿宋" w:eastAsia="仿宋" w:cs="仿宋"/>
                <w:color w:val="auto"/>
                <w:kern w:val="0"/>
                <w:sz w:val="24"/>
                <w:szCs w:val="24"/>
                <w:lang w:bidi="ar"/>
              </w:rPr>
              <w:t>季度</w:t>
            </w:r>
          </w:p>
        </w:tc>
      </w:tr>
      <w:tr>
        <w:tblPrEx>
          <w:tblLayout w:type="fixed"/>
          <w:tblCellMar>
            <w:top w:w="15" w:type="dxa"/>
            <w:left w:w="15" w:type="dxa"/>
            <w:bottom w:w="15" w:type="dxa"/>
            <w:right w:w="15" w:type="dxa"/>
          </w:tblCellMar>
        </w:tblPrEx>
        <w:trPr>
          <w:trHeight w:val="450"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项目</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开展工作情况</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备注</w:t>
            </w:r>
          </w:p>
        </w:tc>
      </w:tr>
      <w:tr>
        <w:tblPrEx>
          <w:tblLayout w:type="fixed"/>
          <w:tblCellMar>
            <w:top w:w="15" w:type="dxa"/>
            <w:left w:w="15" w:type="dxa"/>
            <w:bottom w:w="15" w:type="dxa"/>
            <w:right w:w="15" w:type="dxa"/>
          </w:tblCellMar>
        </w:tblPrEx>
        <w:trPr>
          <w:trHeight w:val="1050"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中心组学习</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次数：</w:t>
            </w:r>
          </w:p>
          <w:p>
            <w:pPr>
              <w:widowControl/>
              <w:spacing w:line="240" w:lineRule="exact"/>
              <w:rPr>
                <w:rFonts w:hint="eastAsia" w:ascii="仿宋" w:hAnsi="仿宋" w:eastAsia="仿宋" w:cs="仿宋"/>
                <w:color w:val="auto"/>
                <w:sz w:val="24"/>
                <w:szCs w:val="24"/>
              </w:rPr>
            </w:pPr>
          </w:p>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人数：</w:t>
            </w:r>
          </w:p>
        </w:tc>
      </w:tr>
      <w:tr>
        <w:tblPrEx>
          <w:tblLayout w:type="fixed"/>
          <w:tblCellMar>
            <w:top w:w="15" w:type="dxa"/>
            <w:left w:w="15" w:type="dxa"/>
            <w:bottom w:w="15" w:type="dxa"/>
            <w:right w:w="15" w:type="dxa"/>
          </w:tblCellMar>
        </w:tblPrEx>
        <w:trPr>
          <w:trHeight w:val="989"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政治理论学习</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次数：</w:t>
            </w:r>
          </w:p>
          <w:p>
            <w:pPr>
              <w:widowControl/>
              <w:spacing w:line="240" w:lineRule="exact"/>
              <w:rPr>
                <w:rFonts w:hint="eastAsia" w:ascii="仿宋" w:hAnsi="仿宋" w:eastAsia="仿宋" w:cs="仿宋"/>
                <w:color w:val="auto"/>
                <w:sz w:val="24"/>
                <w:szCs w:val="24"/>
              </w:rPr>
            </w:pPr>
          </w:p>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人数：</w:t>
            </w:r>
          </w:p>
        </w:tc>
      </w:tr>
      <w:tr>
        <w:tblPrEx>
          <w:tblLayout w:type="fixed"/>
          <w:tblCellMar>
            <w:top w:w="15" w:type="dxa"/>
            <w:left w:w="15" w:type="dxa"/>
            <w:bottom w:w="15" w:type="dxa"/>
            <w:right w:w="15" w:type="dxa"/>
          </w:tblCellMar>
        </w:tblPrEx>
        <w:trPr>
          <w:trHeight w:val="1071"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辅导讲座、专题报告</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次数：</w:t>
            </w:r>
          </w:p>
          <w:p>
            <w:pPr>
              <w:widowControl/>
              <w:spacing w:line="240" w:lineRule="exact"/>
              <w:rPr>
                <w:rFonts w:hint="eastAsia" w:ascii="仿宋" w:hAnsi="仿宋" w:eastAsia="仿宋" w:cs="仿宋"/>
                <w:color w:val="auto"/>
                <w:sz w:val="24"/>
                <w:szCs w:val="24"/>
              </w:rPr>
            </w:pPr>
          </w:p>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人数：</w:t>
            </w:r>
          </w:p>
        </w:tc>
      </w:tr>
      <w:tr>
        <w:tblPrEx>
          <w:tblLayout w:type="fixed"/>
          <w:tblCellMar>
            <w:top w:w="15" w:type="dxa"/>
            <w:left w:w="15" w:type="dxa"/>
            <w:bottom w:w="15" w:type="dxa"/>
            <w:right w:w="15" w:type="dxa"/>
          </w:tblCellMar>
        </w:tblPrEx>
        <w:trPr>
          <w:trHeight w:val="1321"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“学习强国”“云岭先锋”“干部在线学习”“法宣在线”等</w:t>
            </w:r>
          </w:p>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网络学习平台运用</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1010"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学习心得或理论文章</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篇数：</w:t>
            </w:r>
          </w:p>
        </w:tc>
      </w:tr>
      <w:tr>
        <w:tblPrEx>
          <w:tblLayout w:type="fixed"/>
          <w:tblCellMar>
            <w:top w:w="15" w:type="dxa"/>
            <w:left w:w="15" w:type="dxa"/>
            <w:bottom w:w="15" w:type="dxa"/>
            <w:right w:w="15" w:type="dxa"/>
          </w:tblCellMar>
        </w:tblPrEx>
        <w:trPr>
          <w:trHeight w:val="1321"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宣传报道（注：新闻网、校报、广播电视、橱窗、微信、微博等宣传媒介宣传情况）</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kern w:val="0"/>
                <w:sz w:val="24"/>
                <w:szCs w:val="24"/>
                <w:lang w:bidi="ar"/>
              </w:rPr>
            </w:pPr>
          </w:p>
          <w:p>
            <w:pPr>
              <w:widowControl/>
              <w:spacing w:line="240" w:lineRule="exact"/>
              <w:jc w:val="center"/>
              <w:textAlignment w:val="center"/>
              <w:rPr>
                <w:rFonts w:hint="eastAsia" w:ascii="仿宋" w:hAnsi="仿宋" w:eastAsia="仿宋" w:cs="仿宋"/>
                <w:color w:val="auto"/>
                <w:kern w:val="0"/>
                <w:sz w:val="24"/>
                <w:szCs w:val="24"/>
                <w:lang w:bidi="ar"/>
              </w:rPr>
            </w:pPr>
          </w:p>
          <w:p>
            <w:pPr>
              <w:widowControl/>
              <w:spacing w:line="240" w:lineRule="exact"/>
              <w:jc w:val="center"/>
              <w:textAlignment w:val="center"/>
              <w:rPr>
                <w:rFonts w:hint="eastAsia" w:ascii="仿宋" w:hAnsi="仿宋" w:eastAsia="仿宋" w:cs="仿宋"/>
                <w:color w:val="auto"/>
                <w:kern w:val="0"/>
                <w:sz w:val="24"/>
                <w:szCs w:val="24"/>
                <w:lang w:bidi="ar"/>
              </w:rPr>
            </w:pPr>
          </w:p>
          <w:p>
            <w:pPr>
              <w:widowControl/>
              <w:spacing w:line="240" w:lineRule="exact"/>
              <w:jc w:val="center"/>
              <w:textAlignment w:val="center"/>
              <w:rPr>
                <w:rFonts w:hint="eastAsia" w:ascii="仿宋" w:hAnsi="仿宋" w:eastAsia="仿宋" w:cs="仿宋"/>
                <w:color w:val="auto"/>
                <w:kern w:val="0"/>
                <w:sz w:val="24"/>
                <w:szCs w:val="24"/>
                <w:lang w:bidi="ar"/>
              </w:rPr>
            </w:pPr>
          </w:p>
          <w:p>
            <w:pPr>
              <w:widowControl/>
              <w:spacing w:line="240" w:lineRule="exact"/>
              <w:jc w:val="center"/>
              <w:textAlignment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新闻篇数：</w:t>
            </w:r>
          </w:p>
          <w:p>
            <w:pPr>
              <w:widowControl/>
              <w:spacing w:line="240" w:lineRule="exact"/>
              <w:rPr>
                <w:rFonts w:hint="eastAsia" w:ascii="仿宋" w:hAnsi="仿宋" w:eastAsia="仿宋" w:cs="仿宋"/>
                <w:color w:val="auto"/>
                <w:sz w:val="24"/>
                <w:szCs w:val="24"/>
              </w:rPr>
            </w:pPr>
          </w:p>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报道次数：</w:t>
            </w:r>
          </w:p>
        </w:tc>
      </w:tr>
      <w:tr>
        <w:tblPrEx>
          <w:tblLayout w:type="fixed"/>
          <w:tblCellMar>
            <w:top w:w="15" w:type="dxa"/>
            <w:left w:w="15" w:type="dxa"/>
            <w:bottom w:w="15" w:type="dxa"/>
            <w:right w:w="15" w:type="dxa"/>
          </w:tblCellMar>
        </w:tblPrEx>
        <w:trPr>
          <w:trHeight w:val="979"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舆情信息</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次数：</w:t>
            </w:r>
          </w:p>
        </w:tc>
      </w:tr>
      <w:tr>
        <w:tblPrEx>
          <w:tblLayout w:type="fixed"/>
          <w:tblCellMar>
            <w:top w:w="15" w:type="dxa"/>
            <w:left w:w="15" w:type="dxa"/>
            <w:bottom w:w="15" w:type="dxa"/>
            <w:right w:w="15" w:type="dxa"/>
          </w:tblCellMar>
        </w:tblPrEx>
        <w:trPr>
          <w:trHeight w:val="1082"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学习成果</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（课题研究、论文发表、获奖情况等）</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仿宋" w:hAnsi="仿宋" w:eastAsia="仿宋" w:cs="仿宋"/>
                <w:color w:val="auto"/>
                <w:sz w:val="24"/>
                <w:szCs w:val="24"/>
              </w:rPr>
            </w:pPr>
            <w:r>
              <w:rPr>
                <w:rFonts w:hint="eastAsia" w:ascii="仿宋" w:hAnsi="仿宋" w:eastAsia="仿宋" w:cs="仿宋"/>
                <w:color w:val="auto"/>
                <w:sz w:val="24"/>
                <w:szCs w:val="24"/>
              </w:rPr>
              <w:t>获奖次数：</w:t>
            </w:r>
          </w:p>
        </w:tc>
      </w:tr>
      <w:tr>
        <w:tblPrEx>
          <w:tblLayout w:type="fixed"/>
          <w:tblCellMar>
            <w:top w:w="15" w:type="dxa"/>
            <w:left w:w="15" w:type="dxa"/>
            <w:bottom w:w="15" w:type="dxa"/>
            <w:right w:w="15" w:type="dxa"/>
          </w:tblCellMar>
        </w:tblPrEx>
        <w:trPr>
          <w:trHeight w:val="782" w:hRule="atLeast"/>
          <w:jc w:val="center"/>
        </w:trPr>
        <w:tc>
          <w:tcPr>
            <w:tcW w:w="24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其他</w:t>
            </w:r>
          </w:p>
        </w:tc>
        <w:tc>
          <w:tcPr>
            <w:tcW w:w="50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auto"/>
                <w:sz w:val="24"/>
                <w:szCs w:val="24"/>
              </w:rPr>
            </w:pPr>
          </w:p>
        </w:tc>
      </w:tr>
      <w:tr>
        <w:tblPrEx>
          <w:tblLayout w:type="fixed"/>
          <w:tblCellMar>
            <w:top w:w="15" w:type="dxa"/>
            <w:left w:w="15" w:type="dxa"/>
            <w:bottom w:w="15" w:type="dxa"/>
            <w:right w:w="15" w:type="dxa"/>
          </w:tblCellMar>
        </w:tblPrEx>
        <w:trPr>
          <w:trHeight w:val="615" w:hRule="atLeast"/>
          <w:jc w:val="center"/>
        </w:trPr>
        <w:tc>
          <w:tcPr>
            <w:tcW w:w="9656" w:type="dxa"/>
            <w:gridSpan w:val="3"/>
            <w:noWrap w:val="0"/>
            <w:vAlign w:val="center"/>
          </w:tcPr>
          <w:p>
            <w:pPr>
              <w:widowControl/>
              <w:spacing w:line="240" w:lineRule="exact"/>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上报时间：  年   月   日       填表人：</w:t>
            </w:r>
            <w:r>
              <w:rPr>
                <w:rFonts w:hint="eastAsia" w:ascii="仿宋" w:hAnsi="仿宋" w:eastAsia="仿宋" w:cs="仿宋"/>
                <w:color w:val="auto"/>
                <w:kern w:val="0"/>
                <w:sz w:val="24"/>
                <w:szCs w:val="24"/>
                <w:u w:val="single"/>
                <w:lang w:bidi="ar"/>
              </w:rPr>
              <w:t xml:space="preserve">         </w:t>
            </w:r>
            <w:r>
              <w:rPr>
                <w:rFonts w:hint="eastAsia" w:ascii="仿宋" w:hAnsi="仿宋" w:eastAsia="仿宋" w:cs="仿宋"/>
                <w:color w:val="auto"/>
                <w:kern w:val="0"/>
                <w:sz w:val="24"/>
                <w:szCs w:val="24"/>
                <w:lang w:bidi="ar"/>
              </w:rPr>
              <w:t xml:space="preserve">    审核人：</w:t>
            </w:r>
          </w:p>
        </w:tc>
      </w:tr>
      <w:tr>
        <w:tblPrEx>
          <w:tblLayout w:type="fixed"/>
          <w:tblCellMar>
            <w:top w:w="15" w:type="dxa"/>
            <w:left w:w="15" w:type="dxa"/>
            <w:bottom w:w="15" w:type="dxa"/>
            <w:right w:w="15" w:type="dxa"/>
          </w:tblCellMar>
        </w:tblPrEx>
        <w:trPr>
          <w:trHeight w:val="1080" w:hRule="atLeast"/>
          <w:jc w:val="center"/>
        </w:trPr>
        <w:tc>
          <w:tcPr>
            <w:tcW w:w="9656" w:type="dxa"/>
            <w:gridSpan w:val="3"/>
            <w:noWrap w:val="0"/>
            <w:vAlign w:val="center"/>
          </w:tcPr>
          <w:p>
            <w:pPr>
              <w:widowControl/>
              <w:spacing w:line="240" w:lineRule="exact"/>
              <w:jc w:val="lef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备注：1.分别于4月5日、7月5日、10月9日、次年1月5日前上报上一季度的工作情况；</w:t>
            </w:r>
          </w:p>
          <w:p>
            <w:pPr>
              <w:widowControl/>
              <w:spacing w:line="240" w:lineRule="exact"/>
              <w:ind w:firstLine="600" w:firstLineChars="300"/>
              <w:jc w:val="left"/>
              <w:textAlignment w:val="center"/>
              <w:rPr>
                <w:rFonts w:hint="eastAsia" w:ascii="仿宋" w:hAnsi="仿宋" w:eastAsia="仿宋" w:cs="仿宋"/>
                <w:color w:val="auto"/>
                <w:szCs w:val="21"/>
              </w:rPr>
            </w:pPr>
            <w:r>
              <w:rPr>
                <w:rFonts w:hint="eastAsia" w:ascii="仿宋" w:hAnsi="仿宋" w:eastAsia="仿宋" w:cs="仿宋"/>
                <w:color w:val="auto"/>
                <w:kern w:val="0"/>
                <w:sz w:val="20"/>
                <w:szCs w:val="20"/>
                <w:lang w:bidi="ar"/>
              </w:rPr>
              <w:t>2.如需详细说明的，请附文字材料。</w:t>
            </w:r>
          </w:p>
        </w:tc>
      </w:tr>
    </w:tbl>
    <w:p>
      <w:pPr>
        <w:rPr>
          <w:rFonts w:hint="eastAsia"/>
          <w:color w:val="auto"/>
          <w:sz w:val="44"/>
          <w:szCs w:val="44"/>
        </w:rPr>
      </w:pPr>
    </w:p>
    <w:p>
      <w:pPr>
        <w:widowControl/>
        <w:jc w:val="center"/>
        <w:textAlignment w:val="center"/>
        <w:rPr>
          <w:rFonts w:hint="eastAsia" w:ascii="黑体" w:eastAsia="黑体"/>
          <w:color w:val="auto"/>
          <w:sz w:val="36"/>
          <w:szCs w:val="36"/>
        </w:rPr>
      </w:pPr>
      <w:r>
        <w:rPr>
          <w:rFonts w:hint="eastAsia" w:ascii="黑体" w:eastAsia="黑体"/>
          <w:color w:val="auto"/>
          <w:sz w:val="36"/>
          <w:szCs w:val="36"/>
          <w:lang w:eastAsia="zh-CN"/>
        </w:rPr>
        <w:t>（</w:t>
      </w:r>
      <w:r>
        <w:rPr>
          <w:rFonts w:hint="eastAsia" w:ascii="黑体" w:eastAsia="黑体"/>
          <w:color w:val="auto"/>
          <w:sz w:val="36"/>
          <w:szCs w:val="36"/>
          <w:lang w:val="en-US" w:eastAsia="zh-CN"/>
        </w:rPr>
        <w:t>6</w:t>
      </w:r>
      <w:r>
        <w:rPr>
          <w:rFonts w:hint="eastAsia" w:ascii="黑体" w:eastAsia="黑体"/>
          <w:color w:val="auto"/>
          <w:sz w:val="36"/>
          <w:szCs w:val="36"/>
          <w:lang w:eastAsia="zh-CN"/>
        </w:rPr>
        <w:t>）</w:t>
      </w:r>
      <w:r>
        <w:rPr>
          <w:rFonts w:hint="eastAsia" w:ascii="黑体" w:eastAsia="黑体"/>
          <w:color w:val="auto"/>
          <w:sz w:val="36"/>
          <w:szCs w:val="36"/>
        </w:rPr>
        <w:t>云南中医药大学信息公开保密审查表</w:t>
      </w:r>
    </w:p>
    <w:p>
      <w:pPr>
        <w:rPr>
          <w:rFonts w:hint="eastAsia"/>
          <w:b/>
          <w:color w:val="auto"/>
        </w:rPr>
      </w:pPr>
      <w:r>
        <w:rPr>
          <w:rFonts w:hint="eastAsia"/>
          <w:color w:val="auto"/>
          <w:sz w:val="24"/>
        </w:rPr>
        <w:t>　　　</w:t>
      </w:r>
    </w:p>
    <w:p>
      <w:pPr>
        <w:jc w:val="center"/>
        <w:rPr>
          <w:rFonts w:hint="eastAsia" w:ascii="仿宋" w:hAnsi="仿宋" w:eastAsia="仿宋" w:cs="仿宋"/>
          <w:color w:val="auto"/>
        </w:rPr>
      </w:pPr>
      <w:r>
        <w:rPr>
          <w:rFonts w:hint="eastAsia" w:ascii="仿宋" w:hAnsi="仿宋" w:eastAsia="仿宋" w:cs="仿宋"/>
          <w:bCs/>
          <w:color w:val="auto"/>
          <w:sz w:val="24"/>
        </w:rPr>
        <w:t>单位、部门（盖章）：　</w:t>
      </w:r>
      <w:r>
        <w:rPr>
          <w:rFonts w:hint="eastAsia" w:ascii="仿宋" w:hAnsi="仿宋" w:eastAsia="仿宋" w:cs="仿宋"/>
          <w:color w:val="auto"/>
          <w:sz w:val="24"/>
        </w:rPr>
        <w:t xml:space="preserve">                               填表日期：</w:t>
      </w:r>
    </w:p>
    <w:tbl>
      <w:tblPr>
        <w:tblStyle w:val="6"/>
        <w:tblpPr w:leftFromText="180" w:rightFromText="180" w:vertAnchor="text" w:horzAnchor="page" w:tblpX="1355" w:tblpY="133"/>
        <w:tblOverlap w:val="never"/>
        <w:tblW w:w="949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66"/>
        <w:gridCol w:w="880"/>
        <w:gridCol w:w="756"/>
        <w:gridCol w:w="548"/>
        <w:gridCol w:w="850"/>
        <w:gridCol w:w="1076"/>
        <w:gridCol w:w="42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95" w:hRule="atLeast"/>
        </w:trPr>
        <w:tc>
          <w:tcPr>
            <w:tcW w:w="2046" w:type="dxa"/>
            <w:gridSpan w:val="2"/>
            <w:vMerge w:val="restart"/>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   拟公开信息</w:t>
            </w:r>
          </w:p>
        </w:tc>
        <w:tc>
          <w:tcPr>
            <w:tcW w:w="1304"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信息标题</w:t>
            </w:r>
          </w:p>
        </w:tc>
        <w:tc>
          <w:tcPr>
            <w:tcW w:w="6148"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 </w:t>
            </w:r>
          </w:p>
          <w:p>
            <w:pPr>
              <w:widowControl/>
              <w:spacing w:line="420" w:lineRule="atLeast"/>
              <w:jc w:val="left"/>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61" w:hRule="atLeast"/>
        </w:trPr>
        <w:tc>
          <w:tcPr>
            <w:tcW w:w="2046"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仿宋" w:hAnsi="仿宋" w:eastAsia="仿宋" w:cs="仿宋"/>
                <w:color w:val="auto"/>
                <w:sz w:val="24"/>
              </w:rPr>
            </w:pPr>
          </w:p>
        </w:tc>
        <w:tc>
          <w:tcPr>
            <w:tcW w:w="130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内容摘要</w:t>
            </w:r>
          </w:p>
        </w:tc>
        <w:tc>
          <w:tcPr>
            <w:tcW w:w="6148"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71" w:hRule="atLeast"/>
        </w:trPr>
        <w:tc>
          <w:tcPr>
            <w:tcW w:w="2046" w:type="dxa"/>
            <w:gridSpan w:val="2"/>
            <w:vMerge w:val="continue"/>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仿宋" w:hAnsi="仿宋" w:eastAsia="仿宋" w:cs="仿宋"/>
                <w:color w:val="auto"/>
                <w:sz w:val="24"/>
              </w:rPr>
            </w:pPr>
          </w:p>
        </w:tc>
        <w:tc>
          <w:tcPr>
            <w:tcW w:w="215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center"/>
              <w:rPr>
                <w:rFonts w:hint="eastAsia" w:ascii="仿宋" w:hAnsi="仿宋" w:eastAsia="仿宋" w:cs="仿宋"/>
                <w:color w:val="auto"/>
                <w:sz w:val="24"/>
              </w:rPr>
            </w:pPr>
            <w:r>
              <w:rPr>
                <w:rFonts w:hint="eastAsia" w:ascii="仿宋" w:hAnsi="仿宋" w:eastAsia="仿宋" w:cs="仿宋"/>
                <w:color w:val="auto"/>
                <w:kern w:val="0"/>
                <w:sz w:val="24"/>
                <w:lang w:bidi="ar"/>
              </w:rPr>
              <w:t>公开方式</w:t>
            </w:r>
          </w:p>
        </w:tc>
        <w:tc>
          <w:tcPr>
            <w:tcW w:w="5298"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ind w:firstLine="236"/>
              <w:rPr>
                <w:rFonts w:hint="eastAsia" w:ascii="仿宋" w:hAnsi="仿宋" w:eastAsia="仿宋" w:cs="仿宋"/>
                <w:color w:val="auto"/>
                <w:sz w:val="24"/>
              </w:rPr>
            </w:pPr>
            <w:r>
              <w:rPr>
                <w:rFonts w:hint="eastAsia" w:ascii="仿宋" w:hAnsi="仿宋" w:eastAsia="仿宋" w:cs="仿宋"/>
                <w:color w:val="auto"/>
                <w:kern w:val="0"/>
                <w:sz w:val="24"/>
                <w:lang w:bidi="ar"/>
              </w:rPr>
              <w:t xml:space="preserve">   □门户网站    □报纸      □广播</w:t>
            </w:r>
          </w:p>
          <w:p>
            <w:pPr>
              <w:widowControl/>
              <w:spacing w:line="420" w:lineRule="atLeast"/>
              <w:ind w:firstLine="236"/>
              <w:rPr>
                <w:rFonts w:hint="eastAsia" w:ascii="仿宋" w:hAnsi="仿宋" w:eastAsia="仿宋" w:cs="仿宋"/>
                <w:color w:val="auto"/>
                <w:sz w:val="24"/>
              </w:rPr>
            </w:pPr>
            <w:r>
              <w:rPr>
                <w:rFonts w:hint="eastAsia" w:ascii="仿宋" w:hAnsi="仿宋" w:eastAsia="仿宋" w:cs="仿宋"/>
                <w:color w:val="auto"/>
                <w:kern w:val="0"/>
                <w:sz w:val="24"/>
                <w:lang w:bidi="ar"/>
              </w:rPr>
              <w:t xml:space="preserve">   □LED        □宣传栏     □其他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79" w:hRule="atLeast"/>
        </w:trPr>
        <w:tc>
          <w:tcPr>
            <w:tcW w:w="2046"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部门初审意见</w:t>
            </w:r>
          </w:p>
        </w:tc>
        <w:tc>
          <w:tcPr>
            <w:tcW w:w="7452"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ind w:firstLine="236"/>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 xml:space="preserve">                    签名：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21" w:hRule="atLeast"/>
        </w:trPr>
        <w:tc>
          <w:tcPr>
            <w:tcW w:w="1166"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center"/>
              <w:rPr>
                <w:rFonts w:hint="eastAsia" w:ascii="仿宋" w:hAnsi="仿宋" w:eastAsia="仿宋" w:cs="仿宋"/>
                <w:color w:val="auto"/>
                <w:sz w:val="24"/>
              </w:rPr>
            </w:pPr>
            <w:r>
              <w:rPr>
                <w:rFonts w:hint="eastAsia" w:ascii="仿宋" w:hAnsi="仿宋" w:eastAsia="仿宋" w:cs="仿宋"/>
                <w:color w:val="auto"/>
                <w:kern w:val="0"/>
                <w:sz w:val="24"/>
                <w:lang w:bidi="ar"/>
              </w:rPr>
              <w:t>学校信息公开保密审查意见</w:t>
            </w:r>
          </w:p>
        </w:tc>
        <w:tc>
          <w:tcPr>
            <w:tcW w:w="1636" w:type="dxa"/>
            <w:gridSpan w:val="2"/>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保密办</w:t>
            </w:r>
          </w:p>
          <w:p>
            <w:pPr>
              <w:widowControl/>
              <w:spacing w:line="420" w:lineRule="atLeast"/>
              <w:jc w:val="center"/>
              <w:rPr>
                <w:rFonts w:hint="eastAsia" w:ascii="仿宋" w:hAnsi="仿宋" w:eastAsia="仿宋" w:cs="仿宋"/>
                <w:color w:val="auto"/>
                <w:sz w:val="24"/>
              </w:rPr>
            </w:pPr>
            <w:r>
              <w:rPr>
                <w:rFonts w:hint="eastAsia" w:ascii="仿宋" w:hAnsi="仿宋" w:eastAsia="仿宋" w:cs="仿宋"/>
                <w:color w:val="auto"/>
                <w:kern w:val="0"/>
                <w:sz w:val="24"/>
                <w:lang w:bidi="ar"/>
              </w:rPr>
              <w:t>审查意见</w:t>
            </w:r>
          </w:p>
        </w:tc>
        <w:tc>
          <w:tcPr>
            <w:tcW w:w="247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□主动公开</w:t>
            </w:r>
          </w:p>
        </w:tc>
        <w:tc>
          <w:tcPr>
            <w:tcW w:w="4222"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center"/>
              <w:rPr>
                <w:rFonts w:hint="eastAsia" w:ascii="仿宋" w:hAnsi="仿宋" w:eastAsia="仿宋" w:cs="仿宋"/>
                <w:color w:val="auto"/>
                <w:sz w:val="24"/>
              </w:rPr>
            </w:pPr>
            <w:r>
              <w:rPr>
                <w:rFonts w:hint="eastAsia" w:ascii="仿宋" w:hAnsi="仿宋" w:eastAsia="仿宋" w:cs="仿宋"/>
                <w:color w:val="auto"/>
                <w:kern w:val="0"/>
                <w:sz w:val="24"/>
                <w:lang w:bidi="ar"/>
              </w:rPr>
              <w:t>□依申请公开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37" w:hRule="atLeast"/>
        </w:trPr>
        <w:tc>
          <w:tcPr>
            <w:tcW w:w="1166"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仿宋" w:hAnsi="仿宋" w:eastAsia="仿宋" w:cs="仿宋"/>
                <w:color w:val="auto"/>
                <w:sz w:val="24"/>
              </w:rPr>
            </w:pPr>
          </w:p>
        </w:tc>
        <w:tc>
          <w:tcPr>
            <w:tcW w:w="1636" w:type="dxa"/>
            <w:gridSpan w:val="2"/>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仿宋" w:hAnsi="仿宋" w:eastAsia="仿宋" w:cs="仿宋"/>
                <w:color w:val="auto"/>
                <w:sz w:val="24"/>
              </w:rPr>
            </w:pPr>
          </w:p>
        </w:tc>
        <w:tc>
          <w:tcPr>
            <w:tcW w:w="247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ind w:left="472" w:hanging="472"/>
              <w:jc w:val="left"/>
              <w:rPr>
                <w:rFonts w:hint="eastAsia" w:ascii="仿宋" w:hAnsi="仿宋" w:eastAsia="仿宋" w:cs="仿宋"/>
                <w:color w:val="auto"/>
                <w:sz w:val="24"/>
              </w:rPr>
            </w:pPr>
            <w:r>
              <w:rPr>
                <w:rFonts w:hint="eastAsia" w:ascii="仿宋" w:hAnsi="仿宋" w:eastAsia="仿宋" w:cs="仿宋"/>
                <w:color w:val="auto"/>
                <w:kern w:val="0"/>
                <w:sz w:val="24"/>
                <w:lang w:bidi="ar"/>
              </w:rPr>
              <w:t>□不予公开理由</w:t>
            </w:r>
          </w:p>
        </w:tc>
        <w:tc>
          <w:tcPr>
            <w:tcW w:w="4222"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left"/>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□国家秘密      □商业秘密</w:t>
            </w:r>
          </w:p>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□内部资料</w:t>
            </w:r>
            <w:r>
              <w:rPr>
                <w:rFonts w:hint="eastAsia" w:ascii="仿宋" w:hAnsi="仿宋" w:eastAsia="仿宋" w:cs="仿宋"/>
                <w:color w:val="auto"/>
                <w:sz w:val="24"/>
              </w:rPr>
              <w:t xml:space="preserve">      </w:t>
            </w:r>
            <w:r>
              <w:rPr>
                <w:rFonts w:hint="eastAsia" w:ascii="仿宋" w:hAnsi="仿宋" w:eastAsia="仿宋" w:cs="仿宋"/>
                <w:color w:val="auto"/>
                <w:kern w:val="0"/>
                <w:sz w:val="24"/>
                <w:lang w:bidi="ar"/>
              </w:rPr>
              <w:t>□个人隐私</w:t>
            </w:r>
          </w:p>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□危及国家安全和社会稳定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66" w:hRule="atLeast"/>
        </w:trPr>
        <w:tc>
          <w:tcPr>
            <w:tcW w:w="1166"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仿宋" w:hAnsi="仿宋" w:eastAsia="仿宋" w:cs="仿宋"/>
                <w:color w:val="auto"/>
                <w:sz w:val="24"/>
              </w:rPr>
            </w:pPr>
          </w:p>
        </w:tc>
        <w:tc>
          <w:tcPr>
            <w:tcW w:w="1636" w:type="dxa"/>
            <w:gridSpan w:val="2"/>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仿宋" w:hAnsi="仿宋" w:eastAsia="仿宋" w:cs="仿宋"/>
                <w:color w:val="auto"/>
                <w:sz w:val="24"/>
              </w:rPr>
            </w:pPr>
          </w:p>
        </w:tc>
        <w:tc>
          <w:tcPr>
            <w:tcW w:w="6696" w:type="dxa"/>
            <w:gridSpan w:val="4"/>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               签名（盖章）：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80" w:hRule="atLeast"/>
        </w:trPr>
        <w:tc>
          <w:tcPr>
            <w:tcW w:w="1166"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仿宋" w:hAnsi="仿宋" w:eastAsia="仿宋" w:cs="仿宋"/>
                <w:color w:val="auto"/>
                <w:sz w:val="24"/>
              </w:rPr>
            </w:pPr>
          </w:p>
        </w:tc>
        <w:tc>
          <w:tcPr>
            <w:tcW w:w="163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80" w:lineRule="atLeast"/>
              <w:jc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宣传部</w:t>
            </w:r>
          </w:p>
          <w:p>
            <w:pPr>
              <w:widowControl/>
              <w:spacing w:line="380" w:lineRule="atLeast"/>
              <w:jc w:val="center"/>
              <w:rPr>
                <w:rFonts w:hint="eastAsia" w:ascii="仿宋" w:hAnsi="仿宋" w:eastAsia="仿宋" w:cs="仿宋"/>
                <w:color w:val="auto"/>
                <w:sz w:val="24"/>
              </w:rPr>
            </w:pPr>
            <w:r>
              <w:rPr>
                <w:rFonts w:hint="eastAsia" w:ascii="仿宋" w:hAnsi="仿宋" w:eastAsia="仿宋" w:cs="仿宋"/>
                <w:color w:val="auto"/>
                <w:kern w:val="0"/>
                <w:sz w:val="24"/>
                <w:lang w:bidi="ar"/>
              </w:rPr>
              <w:t>发布意见</w:t>
            </w:r>
          </w:p>
        </w:tc>
        <w:tc>
          <w:tcPr>
            <w:tcW w:w="6696" w:type="dxa"/>
            <w:gridSpan w:val="4"/>
            <w:tcBorders>
              <w:top w:val="nil"/>
              <w:left w:val="nil"/>
              <w:bottom w:val="single" w:color="auto" w:sz="8" w:space="0"/>
              <w:right w:val="single" w:color="auto" w:sz="8" w:space="0"/>
            </w:tcBorders>
            <w:shd w:val="clear" w:color="auto" w:fill="FFFFFF"/>
            <w:noWrap w:val="0"/>
            <w:tcMar>
              <w:left w:w="108" w:type="dxa"/>
              <w:right w:w="108" w:type="dxa"/>
            </w:tcMar>
            <w:vAlign w:val="center"/>
          </w:tcPr>
          <w:p>
            <w:pPr>
              <w:ind w:right="560"/>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 公开栏目位置：</w:t>
            </w:r>
          </w:p>
          <w:p>
            <w:pPr>
              <w:ind w:right="560"/>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 xml:space="preserve">  上传时间：</w:t>
            </w:r>
          </w:p>
          <w:p>
            <w:pPr>
              <w:ind w:right="560"/>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 xml:space="preserve">  撤销时间：</w:t>
            </w:r>
          </w:p>
          <w:p>
            <w:pPr>
              <w:ind w:right="560"/>
              <w:rPr>
                <w:rFonts w:hint="eastAsia" w:ascii="仿宋" w:hAnsi="仿宋" w:eastAsia="仿宋" w:cs="仿宋"/>
                <w:color w:val="auto"/>
                <w:kern w:val="0"/>
                <w:sz w:val="24"/>
                <w:lang w:bidi="ar"/>
              </w:rPr>
            </w:pPr>
          </w:p>
          <w:p>
            <w:pPr>
              <w:ind w:right="560"/>
              <w:rPr>
                <w:rFonts w:hint="eastAsia" w:ascii="仿宋" w:hAnsi="仿宋" w:eastAsia="仿宋" w:cs="仿宋"/>
                <w:color w:val="auto"/>
                <w:sz w:val="24"/>
              </w:rPr>
            </w:pPr>
            <w:r>
              <w:rPr>
                <w:rFonts w:hint="eastAsia" w:ascii="仿宋" w:hAnsi="仿宋" w:eastAsia="仿宋" w:cs="仿宋"/>
                <w:color w:val="auto"/>
                <w:kern w:val="0"/>
                <w:sz w:val="24"/>
                <w:lang w:bidi="ar"/>
              </w:rPr>
              <w:t xml:space="preserve">           签名（盖章）：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63" w:hRule="atLeast"/>
        </w:trPr>
        <w:tc>
          <w:tcPr>
            <w:tcW w:w="1166"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center"/>
              <w:rPr>
                <w:rFonts w:hint="eastAsia" w:ascii="仿宋" w:hAnsi="仿宋" w:eastAsia="仿宋" w:cs="仿宋"/>
                <w:color w:val="auto"/>
                <w:sz w:val="24"/>
              </w:rPr>
            </w:pPr>
            <w:r>
              <w:rPr>
                <w:rFonts w:hint="eastAsia" w:ascii="仿宋" w:hAnsi="仿宋" w:eastAsia="仿宋" w:cs="仿宋"/>
                <w:color w:val="auto"/>
                <w:kern w:val="0"/>
                <w:sz w:val="24"/>
                <w:lang w:bidi="ar"/>
              </w:rPr>
              <w:t>备注</w:t>
            </w:r>
          </w:p>
        </w:tc>
        <w:tc>
          <w:tcPr>
            <w:tcW w:w="8332" w:type="dxa"/>
            <w:gridSpan w:val="6"/>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20" w:lineRule="atLeast"/>
              <w:jc w:val="center"/>
              <w:rPr>
                <w:rFonts w:hint="eastAsia" w:ascii="仿宋" w:hAnsi="仿宋" w:eastAsia="仿宋" w:cs="仿宋"/>
                <w:color w:val="auto"/>
                <w:sz w:val="24"/>
              </w:rPr>
            </w:pPr>
            <w:r>
              <w:rPr>
                <w:rFonts w:hint="eastAsia" w:ascii="仿宋" w:hAnsi="仿宋" w:eastAsia="仿宋" w:cs="仿宋"/>
                <w:color w:val="auto"/>
                <w:kern w:val="0"/>
                <w:sz w:val="24"/>
                <w:lang w:bidi="ar"/>
              </w:rPr>
              <w:t> </w:t>
            </w:r>
          </w:p>
          <w:p>
            <w:pPr>
              <w:widowControl/>
              <w:spacing w:line="420" w:lineRule="atLeast"/>
              <w:jc w:val="center"/>
              <w:rPr>
                <w:rFonts w:hint="eastAsia" w:ascii="仿宋" w:hAnsi="仿宋" w:eastAsia="仿宋" w:cs="仿宋"/>
                <w:color w:val="auto"/>
                <w:sz w:val="24"/>
              </w:rPr>
            </w:pPr>
            <w:r>
              <w:rPr>
                <w:rFonts w:hint="eastAsia" w:ascii="仿宋" w:hAnsi="仿宋" w:eastAsia="仿宋" w:cs="仿宋"/>
                <w:color w:val="auto"/>
                <w:kern w:val="0"/>
                <w:sz w:val="24"/>
                <w:lang w:bidi="ar"/>
              </w:rPr>
              <w:t> </w:t>
            </w:r>
          </w:p>
        </w:tc>
      </w:tr>
    </w:tbl>
    <w:p>
      <w:pPr>
        <w:rPr>
          <w:rFonts w:hint="eastAsia"/>
          <w:color w:val="auto"/>
        </w:rPr>
      </w:pPr>
      <w:r>
        <w:rPr>
          <w:rFonts w:hint="eastAsia"/>
          <w:color w:val="auto"/>
          <w:lang w:eastAsia="zh-CN"/>
        </w:rPr>
        <w:t>党委</w:t>
      </w:r>
      <w:r>
        <w:rPr>
          <w:rFonts w:hint="eastAsia"/>
          <w:color w:val="auto"/>
        </w:rPr>
        <w:t xml:space="preserve">宣传部（新闻中心）制作  </w:t>
      </w:r>
    </w:p>
    <w:p>
      <w:pPr>
        <w:rPr>
          <w:rFonts w:hint="eastAsia"/>
          <w:color w:val="auto"/>
        </w:rPr>
      </w:pPr>
    </w:p>
    <w:p>
      <w:pPr>
        <w:widowControl/>
        <w:jc w:val="center"/>
        <w:textAlignment w:val="center"/>
        <w:rPr>
          <w:rFonts w:hint="eastAsia" w:ascii="黑体" w:eastAsia="黑体"/>
          <w:color w:val="auto"/>
          <w:sz w:val="36"/>
          <w:szCs w:val="36"/>
          <w:lang w:eastAsia="zh-CN"/>
        </w:rPr>
      </w:pPr>
    </w:p>
    <w:p>
      <w:pPr>
        <w:widowControl/>
        <w:jc w:val="center"/>
        <w:textAlignment w:val="center"/>
        <w:rPr>
          <w:rFonts w:hint="eastAsia" w:ascii="黑体" w:eastAsia="黑体"/>
          <w:color w:val="auto"/>
          <w:sz w:val="36"/>
          <w:szCs w:val="36"/>
        </w:rPr>
      </w:pPr>
      <w:r>
        <w:rPr>
          <w:rFonts w:hint="eastAsia" w:ascii="黑体" w:eastAsia="黑体"/>
          <w:color w:val="auto"/>
          <w:sz w:val="36"/>
          <w:szCs w:val="36"/>
          <w:lang w:eastAsia="zh-CN"/>
        </w:rPr>
        <w:t>（</w:t>
      </w:r>
      <w:r>
        <w:rPr>
          <w:rFonts w:hint="eastAsia" w:ascii="黑体" w:eastAsia="黑体"/>
          <w:color w:val="auto"/>
          <w:sz w:val="36"/>
          <w:szCs w:val="36"/>
          <w:lang w:val="en-US" w:eastAsia="zh-CN"/>
        </w:rPr>
        <w:t>7</w:t>
      </w:r>
      <w:r>
        <w:rPr>
          <w:rFonts w:hint="eastAsia" w:ascii="黑体" w:eastAsia="黑体"/>
          <w:color w:val="auto"/>
          <w:sz w:val="36"/>
          <w:szCs w:val="36"/>
          <w:lang w:eastAsia="zh-CN"/>
        </w:rPr>
        <w:t>）</w:t>
      </w:r>
      <w:r>
        <w:rPr>
          <w:rFonts w:hint="eastAsia" w:ascii="黑体" w:eastAsia="黑体"/>
          <w:color w:val="auto"/>
          <w:sz w:val="36"/>
          <w:szCs w:val="36"/>
        </w:rPr>
        <w:t>云南中医药大学新媒体建设备案及审批表</w:t>
      </w:r>
    </w:p>
    <w:p>
      <w:pPr>
        <w:spacing w:after="156" w:afterLines="50"/>
        <w:rPr>
          <w:rFonts w:hint="eastAsia" w:ascii="仿宋" w:hAnsi="仿宋" w:eastAsia="仿宋"/>
          <w:b/>
          <w:color w:val="auto"/>
          <w:sz w:val="24"/>
        </w:rPr>
      </w:pPr>
    </w:p>
    <w:p>
      <w:pPr>
        <w:spacing w:after="156" w:afterLines="50"/>
        <w:rPr>
          <w:rFonts w:ascii="仿宋" w:hAnsi="仿宋" w:eastAsia="仿宋"/>
          <w:bCs/>
          <w:color w:val="auto"/>
          <w:sz w:val="24"/>
        </w:rPr>
      </w:pPr>
      <w:r>
        <w:rPr>
          <w:rFonts w:hint="eastAsia" w:ascii="仿宋" w:hAnsi="仿宋" w:eastAsia="仿宋"/>
          <w:bCs/>
          <w:color w:val="auto"/>
          <w:sz w:val="24"/>
        </w:rPr>
        <w:t>申请单位名称:</w:t>
      </w:r>
      <w:r>
        <w:rPr>
          <w:rFonts w:ascii="仿宋" w:hAnsi="仿宋" w:eastAsia="仿宋"/>
          <w:bCs/>
          <w:color w:val="auto"/>
          <w:sz w:val="24"/>
        </w:rPr>
        <w:t xml:space="preserve"> </w:t>
      </w:r>
    </w:p>
    <w:tbl>
      <w:tblPr>
        <w:tblStyle w:val="6"/>
        <w:tblW w:w="94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243"/>
        <w:gridCol w:w="9"/>
        <w:gridCol w:w="416"/>
        <w:gridCol w:w="836"/>
        <w:gridCol w:w="830"/>
        <w:gridCol w:w="1494"/>
        <w:gridCol w:w="715"/>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9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新媒体类型</w:t>
            </w:r>
          </w:p>
        </w:tc>
        <w:tc>
          <w:tcPr>
            <w:tcW w:w="7811" w:type="dxa"/>
            <w:gridSpan w:val="9"/>
            <w:noWrap w:val="0"/>
            <w:vAlign w:val="center"/>
          </w:tcPr>
          <w:p>
            <w:pPr>
              <w:rPr>
                <w:rFonts w:hint="eastAsia" w:ascii="仿宋" w:hAnsi="仿宋" w:eastAsia="仿宋" w:cs="仿宋"/>
                <w:bCs/>
                <w:color w:val="auto"/>
                <w:sz w:val="24"/>
              </w:rPr>
            </w:pPr>
            <w:r>
              <w:rPr>
                <w:rFonts w:hint="eastAsia" w:ascii="仿宋" w:hAnsi="仿宋" w:eastAsia="仿宋" w:cs="仿宋"/>
                <w:bCs/>
                <w:color w:val="auto"/>
                <w:sz w:val="24"/>
              </w:rPr>
              <w:t xml:space="preserve">□ 微博   □ 微信   □ QQ公众号   □ 今日头条头条号   </w:t>
            </w:r>
          </w:p>
          <w:p>
            <w:pPr>
              <w:rPr>
                <w:rFonts w:hint="eastAsia" w:ascii="仿宋" w:hAnsi="仿宋" w:eastAsia="仿宋" w:cs="仿宋"/>
                <w:bCs/>
                <w:color w:val="auto"/>
                <w:sz w:val="24"/>
              </w:rPr>
            </w:pPr>
            <w:r>
              <w:rPr>
                <w:rFonts w:hint="eastAsia" w:ascii="仿宋" w:hAnsi="仿宋" w:eastAsia="仿宋" w:cs="仿宋"/>
                <w:bCs/>
                <w:color w:val="auto"/>
                <w:sz w:val="24"/>
              </w:rPr>
              <w:t>□ 自主开发移动客户端   □ 其他</w:t>
            </w:r>
            <w:r>
              <w:rPr>
                <w:rFonts w:hint="eastAsia" w:ascii="仿宋" w:hAnsi="仿宋" w:eastAsia="仿宋" w:cs="仿宋"/>
                <w:bCs/>
                <w:color w:val="auto"/>
                <w:sz w:val="24"/>
                <w:u w:val="single"/>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159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帐号用户名</w:t>
            </w:r>
          </w:p>
          <w:p>
            <w:pPr>
              <w:jc w:val="center"/>
              <w:rPr>
                <w:rFonts w:hint="eastAsia" w:ascii="仿宋" w:hAnsi="仿宋" w:eastAsia="仿宋" w:cs="仿宋"/>
                <w:bCs/>
                <w:color w:val="auto"/>
                <w:sz w:val="24"/>
              </w:rPr>
            </w:pPr>
            <w:r>
              <w:rPr>
                <w:rFonts w:hint="eastAsia" w:ascii="仿宋" w:hAnsi="仿宋" w:eastAsia="仿宋" w:cs="仿宋"/>
                <w:bCs/>
                <w:color w:val="auto"/>
                <w:sz w:val="18"/>
              </w:rPr>
              <w:t>（新媒体名称）</w:t>
            </w:r>
          </w:p>
        </w:tc>
        <w:tc>
          <w:tcPr>
            <w:tcW w:w="1668" w:type="dxa"/>
            <w:gridSpan w:val="3"/>
            <w:noWrap w:val="0"/>
            <w:vAlign w:val="center"/>
          </w:tcPr>
          <w:p>
            <w:pPr>
              <w:rPr>
                <w:rFonts w:hint="eastAsia" w:ascii="仿宋" w:hAnsi="仿宋" w:eastAsia="仿宋" w:cs="仿宋"/>
                <w:bCs/>
                <w:color w:val="auto"/>
                <w:sz w:val="24"/>
              </w:rPr>
            </w:pPr>
          </w:p>
        </w:tc>
        <w:tc>
          <w:tcPr>
            <w:tcW w:w="836"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媒体链接</w:t>
            </w:r>
          </w:p>
        </w:tc>
        <w:tc>
          <w:tcPr>
            <w:tcW w:w="2324" w:type="dxa"/>
            <w:gridSpan w:val="2"/>
            <w:noWrap w:val="0"/>
            <w:vAlign w:val="center"/>
          </w:tcPr>
          <w:p>
            <w:pPr>
              <w:rPr>
                <w:rFonts w:hint="eastAsia" w:ascii="仿宋" w:hAnsi="仿宋" w:eastAsia="仿宋" w:cs="仿宋"/>
                <w:bCs/>
                <w:color w:val="auto"/>
                <w:sz w:val="24"/>
              </w:rPr>
            </w:pPr>
            <w:r>
              <w:rPr>
                <w:rFonts w:hint="eastAsia" w:ascii="仿宋" w:hAnsi="仿宋" w:eastAsia="仿宋" w:cs="仿宋"/>
                <w:bCs/>
                <w:color w:val="auto"/>
                <w:sz w:val="20"/>
                <w:szCs w:val="21"/>
              </w:rPr>
              <w:t>（填写：微博网址/微信号/客户端下载地址）</w:t>
            </w:r>
          </w:p>
        </w:tc>
        <w:tc>
          <w:tcPr>
            <w:tcW w:w="715"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开通时间</w:t>
            </w:r>
          </w:p>
        </w:tc>
        <w:tc>
          <w:tcPr>
            <w:tcW w:w="2268" w:type="dxa"/>
            <w:gridSpan w:val="2"/>
            <w:noWrap w:val="0"/>
            <w:vAlign w:val="center"/>
          </w:tcPr>
          <w:p>
            <w:pPr>
              <w:rPr>
                <w:rFonts w:hint="eastAsia" w:ascii="仿宋" w:hAnsi="仿宋" w:eastAsia="仿宋" w:cs="仿宋"/>
                <w:bCs/>
                <w:color w:val="auto"/>
                <w:sz w:val="24"/>
              </w:rPr>
            </w:pPr>
            <w:r>
              <w:rPr>
                <w:rFonts w:hint="eastAsia" w:ascii="仿宋" w:hAnsi="仿宋" w:eastAsia="仿宋" w:cs="仿宋"/>
                <w:bCs/>
                <w:color w:val="auto"/>
                <w:sz w:val="20"/>
                <w:szCs w:val="21"/>
              </w:rPr>
              <w:t>（填写已开通或拟开通时间，格式：20××年×月×日）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593" w:type="dxa"/>
            <w:vMerge w:val="restart"/>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第一责任人</w:t>
            </w:r>
          </w:p>
          <w:p>
            <w:pPr>
              <w:jc w:val="center"/>
              <w:rPr>
                <w:rFonts w:hint="eastAsia" w:ascii="仿宋" w:hAnsi="仿宋" w:eastAsia="仿宋" w:cs="仿宋"/>
                <w:bCs/>
                <w:color w:val="auto"/>
                <w:sz w:val="24"/>
              </w:rPr>
            </w:pPr>
            <w:r>
              <w:rPr>
                <w:rFonts w:hint="eastAsia" w:ascii="仿宋" w:hAnsi="仿宋" w:eastAsia="仿宋" w:cs="仿宋"/>
                <w:bCs/>
                <w:color w:val="auto"/>
                <w:sz w:val="18"/>
              </w:rPr>
              <w:t>（部门负责人）</w:t>
            </w:r>
          </w:p>
        </w:tc>
        <w:tc>
          <w:tcPr>
            <w:tcW w:w="124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姓名</w:t>
            </w:r>
          </w:p>
        </w:tc>
        <w:tc>
          <w:tcPr>
            <w:tcW w:w="1261" w:type="dxa"/>
            <w:gridSpan w:val="3"/>
            <w:noWrap w:val="0"/>
            <w:vAlign w:val="center"/>
          </w:tcPr>
          <w:p>
            <w:pPr>
              <w:jc w:val="center"/>
              <w:rPr>
                <w:rFonts w:hint="eastAsia" w:ascii="仿宋" w:hAnsi="仿宋" w:eastAsia="仿宋" w:cs="仿宋"/>
                <w:bCs/>
                <w:color w:val="auto"/>
                <w:sz w:val="24"/>
              </w:rPr>
            </w:pPr>
          </w:p>
        </w:tc>
        <w:tc>
          <w:tcPr>
            <w:tcW w:w="830"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职务</w:t>
            </w:r>
          </w:p>
        </w:tc>
        <w:tc>
          <w:tcPr>
            <w:tcW w:w="2209" w:type="dxa"/>
            <w:gridSpan w:val="2"/>
            <w:noWrap w:val="0"/>
            <w:vAlign w:val="center"/>
          </w:tcPr>
          <w:p>
            <w:pPr>
              <w:rPr>
                <w:rFonts w:hint="eastAsia" w:ascii="仿宋" w:hAnsi="仿宋" w:eastAsia="仿宋" w:cs="仿宋"/>
                <w:bCs/>
                <w:color w:val="auto"/>
                <w:sz w:val="24"/>
              </w:rPr>
            </w:pPr>
          </w:p>
        </w:tc>
        <w:tc>
          <w:tcPr>
            <w:tcW w:w="709"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手机</w:t>
            </w:r>
          </w:p>
        </w:tc>
        <w:tc>
          <w:tcPr>
            <w:tcW w:w="1559" w:type="dxa"/>
            <w:noWrap w:val="0"/>
            <w:vAlign w:val="center"/>
          </w:tcPr>
          <w:p>
            <w:pP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593" w:type="dxa"/>
            <w:vMerge w:val="continue"/>
            <w:noWrap w:val="0"/>
            <w:vAlign w:val="center"/>
          </w:tcPr>
          <w:p>
            <w:pPr>
              <w:jc w:val="center"/>
              <w:rPr>
                <w:rFonts w:hint="eastAsia" w:ascii="仿宋" w:hAnsi="仿宋" w:eastAsia="仿宋" w:cs="仿宋"/>
                <w:bCs/>
                <w:color w:val="auto"/>
                <w:sz w:val="24"/>
              </w:rPr>
            </w:pPr>
          </w:p>
        </w:tc>
        <w:tc>
          <w:tcPr>
            <w:tcW w:w="124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办公电话</w:t>
            </w:r>
          </w:p>
        </w:tc>
        <w:tc>
          <w:tcPr>
            <w:tcW w:w="1261" w:type="dxa"/>
            <w:gridSpan w:val="3"/>
            <w:noWrap w:val="0"/>
            <w:vAlign w:val="center"/>
          </w:tcPr>
          <w:p>
            <w:pPr>
              <w:jc w:val="center"/>
              <w:rPr>
                <w:rFonts w:hint="eastAsia" w:ascii="仿宋" w:hAnsi="仿宋" w:eastAsia="仿宋" w:cs="仿宋"/>
                <w:bCs/>
                <w:color w:val="auto"/>
                <w:sz w:val="24"/>
              </w:rPr>
            </w:pPr>
          </w:p>
        </w:tc>
        <w:tc>
          <w:tcPr>
            <w:tcW w:w="830"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邮箱</w:t>
            </w:r>
          </w:p>
        </w:tc>
        <w:tc>
          <w:tcPr>
            <w:tcW w:w="4477" w:type="dxa"/>
            <w:gridSpan w:val="4"/>
            <w:noWrap w:val="0"/>
            <w:vAlign w:val="center"/>
          </w:tcPr>
          <w:p>
            <w:pP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593" w:type="dxa"/>
            <w:vMerge w:val="restart"/>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帐号管理员</w:t>
            </w:r>
          </w:p>
        </w:tc>
        <w:tc>
          <w:tcPr>
            <w:tcW w:w="124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姓名</w:t>
            </w:r>
          </w:p>
        </w:tc>
        <w:tc>
          <w:tcPr>
            <w:tcW w:w="1261" w:type="dxa"/>
            <w:gridSpan w:val="3"/>
            <w:noWrap w:val="0"/>
            <w:vAlign w:val="center"/>
          </w:tcPr>
          <w:p>
            <w:pPr>
              <w:jc w:val="center"/>
              <w:rPr>
                <w:rFonts w:hint="eastAsia" w:ascii="仿宋" w:hAnsi="仿宋" w:eastAsia="仿宋" w:cs="仿宋"/>
                <w:bCs/>
                <w:color w:val="auto"/>
                <w:sz w:val="24"/>
              </w:rPr>
            </w:pPr>
          </w:p>
        </w:tc>
        <w:tc>
          <w:tcPr>
            <w:tcW w:w="830"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职务</w:t>
            </w:r>
          </w:p>
        </w:tc>
        <w:tc>
          <w:tcPr>
            <w:tcW w:w="2209" w:type="dxa"/>
            <w:gridSpan w:val="2"/>
            <w:noWrap w:val="0"/>
            <w:vAlign w:val="center"/>
          </w:tcPr>
          <w:p>
            <w:pPr>
              <w:rPr>
                <w:rFonts w:hint="eastAsia" w:ascii="仿宋" w:hAnsi="仿宋" w:eastAsia="仿宋" w:cs="仿宋"/>
                <w:bCs/>
                <w:color w:val="auto"/>
                <w:sz w:val="24"/>
              </w:rPr>
            </w:pPr>
          </w:p>
        </w:tc>
        <w:tc>
          <w:tcPr>
            <w:tcW w:w="709"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手机</w:t>
            </w:r>
          </w:p>
        </w:tc>
        <w:tc>
          <w:tcPr>
            <w:tcW w:w="1559" w:type="dxa"/>
            <w:noWrap w:val="0"/>
            <w:vAlign w:val="center"/>
          </w:tcPr>
          <w:p>
            <w:pP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93" w:type="dxa"/>
            <w:vMerge w:val="continue"/>
            <w:noWrap w:val="0"/>
            <w:vAlign w:val="center"/>
          </w:tcPr>
          <w:p>
            <w:pPr>
              <w:jc w:val="center"/>
              <w:rPr>
                <w:rFonts w:hint="eastAsia" w:ascii="仿宋" w:hAnsi="仿宋" w:eastAsia="仿宋" w:cs="仿宋"/>
                <w:bCs/>
                <w:color w:val="auto"/>
                <w:sz w:val="24"/>
              </w:rPr>
            </w:pPr>
          </w:p>
        </w:tc>
        <w:tc>
          <w:tcPr>
            <w:tcW w:w="124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办公电话</w:t>
            </w:r>
          </w:p>
        </w:tc>
        <w:tc>
          <w:tcPr>
            <w:tcW w:w="1261" w:type="dxa"/>
            <w:gridSpan w:val="3"/>
            <w:noWrap w:val="0"/>
            <w:vAlign w:val="center"/>
          </w:tcPr>
          <w:p>
            <w:pPr>
              <w:jc w:val="center"/>
              <w:rPr>
                <w:rFonts w:hint="eastAsia" w:ascii="仿宋" w:hAnsi="仿宋" w:eastAsia="仿宋" w:cs="仿宋"/>
                <w:bCs/>
                <w:color w:val="auto"/>
                <w:sz w:val="24"/>
              </w:rPr>
            </w:pPr>
          </w:p>
        </w:tc>
        <w:tc>
          <w:tcPr>
            <w:tcW w:w="830"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邮箱</w:t>
            </w:r>
          </w:p>
        </w:tc>
        <w:tc>
          <w:tcPr>
            <w:tcW w:w="4477" w:type="dxa"/>
            <w:gridSpan w:val="4"/>
            <w:noWrap w:val="0"/>
            <w:vAlign w:val="center"/>
          </w:tcPr>
          <w:p>
            <w:pPr>
              <w:rPr>
                <w:rFonts w:hint="eastAsia"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9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开发单位</w:t>
            </w:r>
          </w:p>
        </w:tc>
        <w:tc>
          <w:tcPr>
            <w:tcW w:w="7811" w:type="dxa"/>
            <w:gridSpan w:val="9"/>
            <w:noWrap w:val="0"/>
            <w:vAlign w:val="center"/>
          </w:tcPr>
          <w:p>
            <w:pPr>
              <w:rPr>
                <w:rFonts w:hint="eastAsia" w:ascii="仿宋" w:hAnsi="仿宋" w:eastAsia="仿宋" w:cs="仿宋"/>
                <w:bCs/>
                <w:color w:val="auto"/>
                <w:sz w:val="24"/>
              </w:rPr>
            </w:pPr>
            <w:r>
              <w:rPr>
                <w:rFonts w:hint="eastAsia" w:ascii="仿宋" w:hAnsi="仿宋" w:eastAsia="仿宋" w:cs="仿宋"/>
                <w:bCs/>
                <w:color w:val="auto"/>
                <w:sz w:val="20"/>
                <w:szCs w:val="21"/>
              </w:rPr>
              <w:t>（若无第三方公司协助开发，可填“无”）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59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平台用途及建设规划</w:t>
            </w:r>
          </w:p>
        </w:tc>
        <w:tc>
          <w:tcPr>
            <w:tcW w:w="7811" w:type="dxa"/>
            <w:gridSpan w:val="9"/>
            <w:noWrap w:val="0"/>
            <w:vAlign w:val="center"/>
          </w:tcPr>
          <w:p>
            <w:pPr>
              <w:rPr>
                <w:rFonts w:hint="eastAsia" w:ascii="仿宋" w:hAnsi="仿宋" w:eastAsia="仿宋" w:cs="仿宋"/>
                <w:bCs/>
                <w:color w:val="auto"/>
                <w:szCs w:val="21"/>
              </w:rPr>
            </w:pPr>
            <w:r>
              <w:rPr>
                <w:rFonts w:hint="eastAsia" w:ascii="仿宋" w:hAnsi="仿宋" w:eastAsia="仿宋" w:cs="仿宋"/>
                <w:bCs/>
                <w:color w:val="auto"/>
                <w:sz w:val="20"/>
                <w:szCs w:val="21"/>
              </w:rPr>
              <w:t>（含制度建设、队伍建设、内容规划、期望目标等，字数不少于400字，可另附页）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159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平台发布流程和信息安全管理制度</w:t>
            </w:r>
          </w:p>
        </w:tc>
        <w:tc>
          <w:tcPr>
            <w:tcW w:w="7811" w:type="dxa"/>
            <w:gridSpan w:val="9"/>
            <w:noWrap w:val="0"/>
            <w:vAlign w:val="center"/>
          </w:tcPr>
          <w:p>
            <w:pPr>
              <w:rPr>
                <w:rFonts w:hint="eastAsia" w:ascii="仿宋" w:hAnsi="仿宋" w:eastAsia="仿宋" w:cs="仿宋"/>
                <w:bCs/>
                <w:color w:val="auto"/>
                <w:sz w:val="20"/>
                <w:szCs w:val="21"/>
              </w:rPr>
            </w:pPr>
            <w:r>
              <w:rPr>
                <w:rFonts w:hint="eastAsia" w:ascii="仿宋" w:hAnsi="仿宋" w:eastAsia="仿宋" w:cs="仿宋"/>
                <w:bCs/>
                <w:color w:val="auto"/>
                <w:sz w:val="20"/>
                <w:szCs w:val="21"/>
              </w:rPr>
              <w:t>（需另附页，提交完善的管理制度）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9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平台是否设</w:t>
            </w:r>
          </w:p>
          <w:p>
            <w:pPr>
              <w:jc w:val="center"/>
              <w:rPr>
                <w:rFonts w:hint="eastAsia" w:ascii="仿宋" w:hAnsi="仿宋" w:eastAsia="仿宋" w:cs="仿宋"/>
                <w:bCs/>
                <w:color w:val="auto"/>
                <w:sz w:val="24"/>
              </w:rPr>
            </w:pPr>
            <w:r>
              <w:rPr>
                <w:rFonts w:hint="eastAsia" w:ascii="仿宋" w:hAnsi="仿宋" w:eastAsia="仿宋" w:cs="仿宋"/>
                <w:bCs/>
                <w:color w:val="auto"/>
                <w:sz w:val="24"/>
              </w:rPr>
              <w:t>有交互栏目</w:t>
            </w:r>
          </w:p>
        </w:tc>
        <w:tc>
          <w:tcPr>
            <w:tcW w:w="1252" w:type="dxa"/>
            <w:gridSpan w:val="2"/>
            <w:noWrap w:val="0"/>
            <w:vAlign w:val="center"/>
          </w:tcPr>
          <w:p>
            <w:pPr>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 xml:space="preserve">□ 否       </w:t>
            </w:r>
          </w:p>
        </w:tc>
        <w:tc>
          <w:tcPr>
            <w:tcW w:w="1252" w:type="dxa"/>
            <w:gridSpan w:val="2"/>
            <w:noWrap w:val="0"/>
            <w:vAlign w:val="center"/>
          </w:tcPr>
          <w:p>
            <w:pPr>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 是</w:t>
            </w:r>
          </w:p>
        </w:tc>
        <w:tc>
          <w:tcPr>
            <w:tcW w:w="2324" w:type="dxa"/>
            <w:gridSpan w:val="2"/>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交互栏目</w:t>
            </w:r>
          </w:p>
          <w:p>
            <w:pPr>
              <w:jc w:val="center"/>
              <w:rPr>
                <w:rFonts w:hint="eastAsia" w:ascii="仿宋" w:hAnsi="仿宋" w:eastAsia="仿宋" w:cs="仿宋"/>
                <w:bCs/>
                <w:color w:val="auto"/>
                <w:sz w:val="24"/>
              </w:rPr>
            </w:pPr>
            <w:r>
              <w:rPr>
                <w:rFonts w:hint="eastAsia" w:ascii="仿宋" w:hAnsi="仿宋" w:eastAsia="仿宋" w:cs="仿宋"/>
                <w:bCs/>
                <w:color w:val="auto"/>
                <w:sz w:val="24"/>
              </w:rPr>
              <w:t>是否有管理员审核</w:t>
            </w:r>
          </w:p>
        </w:tc>
        <w:tc>
          <w:tcPr>
            <w:tcW w:w="2983" w:type="dxa"/>
            <w:gridSpan w:val="3"/>
            <w:noWrap w:val="0"/>
            <w:vAlign w:val="center"/>
          </w:tcPr>
          <w:p>
            <w:pPr>
              <w:ind w:firstLine="240" w:firstLineChars="100"/>
              <w:rPr>
                <w:rFonts w:hint="eastAsia" w:ascii="仿宋" w:hAnsi="仿宋" w:eastAsia="仿宋" w:cs="仿宋"/>
                <w:bCs/>
                <w:color w:val="auto"/>
                <w:sz w:val="24"/>
              </w:rPr>
            </w:pPr>
            <w:r>
              <w:rPr>
                <w:rFonts w:hint="eastAsia" w:ascii="仿宋" w:hAnsi="仿宋" w:eastAsia="仿宋" w:cs="仿宋"/>
                <w:bCs/>
                <w:color w:val="auto"/>
                <w:sz w:val="24"/>
              </w:rPr>
              <w:t>□否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59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单位意见</w:t>
            </w:r>
          </w:p>
        </w:tc>
        <w:tc>
          <w:tcPr>
            <w:tcW w:w="7811" w:type="dxa"/>
            <w:gridSpan w:val="9"/>
            <w:noWrap w:val="0"/>
            <w:vAlign w:val="center"/>
          </w:tcPr>
          <w:p>
            <w:pPr>
              <w:spacing w:line="360" w:lineRule="exact"/>
              <w:ind w:firstLine="420" w:firstLineChars="200"/>
              <w:rPr>
                <w:rFonts w:hint="eastAsia" w:ascii="仿宋" w:hAnsi="仿宋" w:eastAsia="仿宋" w:cs="仿宋"/>
                <w:bCs/>
                <w:color w:val="auto"/>
                <w:szCs w:val="20"/>
              </w:rPr>
            </w:pPr>
            <w:r>
              <w:rPr>
                <w:rFonts w:hint="eastAsia" w:ascii="仿宋" w:hAnsi="仿宋" w:eastAsia="仿宋" w:cs="仿宋"/>
                <w:bCs/>
                <w:color w:val="auto"/>
                <w:szCs w:val="20"/>
              </w:rPr>
              <w:t>我单位知晓国家互联网有关法规和学校制度，承诺加强管理，切实保障该新媒体的网络信息安全，同意本新媒体开通运营。</w:t>
            </w:r>
          </w:p>
          <w:p>
            <w:pPr>
              <w:ind w:right="480" w:firstLine="3120" w:firstLineChars="1300"/>
              <w:rPr>
                <w:rFonts w:hint="eastAsia" w:ascii="仿宋" w:hAnsi="仿宋" w:eastAsia="仿宋" w:cs="仿宋"/>
                <w:bCs/>
                <w:color w:val="auto"/>
                <w:sz w:val="24"/>
              </w:rPr>
            </w:pPr>
          </w:p>
          <w:p>
            <w:pPr>
              <w:ind w:right="480" w:firstLine="3120" w:firstLineChars="1300"/>
              <w:rPr>
                <w:rFonts w:hint="eastAsia" w:ascii="仿宋" w:hAnsi="仿宋" w:eastAsia="仿宋" w:cs="仿宋"/>
                <w:bCs/>
                <w:color w:val="auto"/>
                <w:sz w:val="24"/>
              </w:rPr>
            </w:pPr>
            <w:r>
              <w:rPr>
                <w:rFonts w:hint="eastAsia" w:ascii="仿宋" w:hAnsi="仿宋" w:eastAsia="仿宋" w:cs="仿宋"/>
                <w:bCs/>
                <w:color w:val="auto"/>
                <w:sz w:val="24"/>
              </w:rPr>
              <w:t>单位负责人签字（公章）：</w:t>
            </w:r>
          </w:p>
          <w:p>
            <w:pPr>
              <w:ind w:right="480" w:firstLine="3960" w:firstLineChars="1650"/>
              <w:rPr>
                <w:rFonts w:hint="eastAsia" w:ascii="仿宋" w:hAnsi="仿宋" w:eastAsia="仿宋" w:cs="仿宋"/>
                <w:bCs/>
                <w:color w:val="auto"/>
                <w:sz w:val="24"/>
              </w:rPr>
            </w:pPr>
            <w:r>
              <w:rPr>
                <w:rFonts w:hint="eastAsia" w:ascii="仿宋" w:hAnsi="仿宋" w:eastAsia="仿宋" w:cs="仿宋"/>
                <w:bCs/>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593" w:type="dxa"/>
            <w:noWrap w:val="0"/>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党委宣传部意见</w:t>
            </w:r>
          </w:p>
        </w:tc>
        <w:tc>
          <w:tcPr>
            <w:tcW w:w="7811" w:type="dxa"/>
            <w:gridSpan w:val="9"/>
            <w:noWrap w:val="0"/>
            <w:vAlign w:val="center"/>
          </w:tcPr>
          <w:p>
            <w:pPr>
              <w:ind w:firstLine="4200" w:firstLineChars="1750"/>
              <w:rPr>
                <w:rFonts w:hint="eastAsia" w:ascii="仿宋" w:hAnsi="仿宋" w:eastAsia="仿宋" w:cs="仿宋"/>
                <w:bCs/>
                <w:color w:val="auto"/>
                <w:sz w:val="24"/>
              </w:rPr>
            </w:pPr>
            <w:r>
              <w:rPr>
                <w:rFonts w:hint="eastAsia" w:ascii="仿宋" w:hAnsi="仿宋" w:eastAsia="仿宋" w:cs="仿宋"/>
                <w:bCs/>
                <w:color w:val="auto"/>
                <w:sz w:val="24"/>
              </w:rPr>
              <w:t>签名（公章）：</w:t>
            </w:r>
          </w:p>
          <w:p>
            <w:pPr>
              <w:ind w:right="480" w:firstLine="720" w:firstLineChars="300"/>
              <w:rPr>
                <w:rFonts w:hint="eastAsia" w:ascii="仿宋" w:hAnsi="仿宋" w:eastAsia="仿宋" w:cs="仿宋"/>
                <w:bCs/>
                <w:color w:val="auto"/>
                <w:sz w:val="24"/>
              </w:rPr>
            </w:pPr>
            <w:r>
              <w:rPr>
                <w:rFonts w:hint="eastAsia" w:ascii="仿宋" w:hAnsi="仿宋" w:eastAsia="仿宋" w:cs="仿宋"/>
                <w:bCs/>
                <w:color w:val="auto"/>
                <w:sz w:val="24"/>
              </w:rPr>
              <w:t xml:space="preserve">                           年    月    日</w:t>
            </w:r>
          </w:p>
        </w:tc>
      </w:tr>
    </w:tbl>
    <w:p>
      <w:pPr>
        <w:widowControl/>
        <w:spacing w:line="360" w:lineRule="auto"/>
        <w:rPr>
          <w:rFonts w:ascii="仿宋_GB2312" w:hAnsi="仿宋" w:eastAsia="仿宋_GB2312"/>
          <w:bCs/>
          <w:color w:val="auto"/>
          <w:sz w:val="24"/>
        </w:rPr>
      </w:pPr>
      <w:r>
        <w:rPr>
          <w:rFonts w:hint="eastAsia" w:ascii="仿宋_GB2312" w:hAnsi="仿宋" w:eastAsia="仿宋_GB2312"/>
          <w:bCs/>
          <w:color w:val="auto"/>
          <w:sz w:val="24"/>
        </w:rPr>
        <w:t>注： 1、本表纸质版一式两份，党委宣传部、主办单位各留存一份。</w:t>
      </w:r>
    </w:p>
    <w:p>
      <w:pPr>
        <w:widowControl/>
        <w:spacing w:line="360" w:lineRule="auto"/>
        <w:ind w:firstLine="600" w:firstLineChars="250"/>
        <w:rPr>
          <w:rFonts w:hint="eastAsia" w:ascii="仿宋_GB2312" w:hAnsi="仿宋" w:eastAsia="仿宋_GB2312"/>
          <w:bCs/>
          <w:color w:val="auto"/>
          <w:sz w:val="24"/>
        </w:rPr>
      </w:pPr>
      <w:r>
        <w:rPr>
          <w:rFonts w:hint="eastAsia" w:ascii="仿宋_GB2312" w:hAnsi="仿宋" w:eastAsia="仿宋_GB2312"/>
          <w:bCs/>
          <w:color w:val="auto"/>
          <w:sz w:val="24"/>
        </w:rPr>
        <w:t>2、党委宣传部联系人：</w:t>
      </w:r>
      <w:r>
        <w:rPr>
          <w:rFonts w:hint="eastAsia" w:ascii="仿宋_GB2312" w:hAnsi="仿宋" w:eastAsia="仿宋_GB2312"/>
          <w:bCs/>
          <w:color w:val="auto"/>
          <w:sz w:val="24"/>
          <w:lang w:val="en-US" w:eastAsia="zh-CN"/>
        </w:rPr>
        <w:t>孙颖</w:t>
      </w:r>
      <w:r>
        <w:rPr>
          <w:rFonts w:hint="eastAsia" w:ascii="仿宋_GB2312" w:hAnsi="仿宋" w:eastAsia="仿宋_GB2312"/>
          <w:bCs/>
          <w:color w:val="auto"/>
          <w:sz w:val="24"/>
        </w:rPr>
        <w:t xml:space="preserve">     联系电话：65918181</w:t>
      </w:r>
    </w:p>
    <w:p>
      <w:pPr>
        <w:rPr>
          <w:rFonts w:hint="eastAsia"/>
          <w:color w:val="auto"/>
          <w:sz w:val="44"/>
          <w:szCs w:val="44"/>
        </w:rPr>
      </w:pPr>
    </w:p>
    <w:p>
      <w:pPr>
        <w:rPr>
          <w:rFonts w:hint="eastAsia"/>
          <w:color w:val="auto"/>
          <w:sz w:val="44"/>
          <w:szCs w:val="44"/>
        </w:rPr>
      </w:pPr>
    </w:p>
    <w:p>
      <w:pPr>
        <w:widowControl/>
        <w:numPr>
          <w:ilvl w:val="0"/>
          <w:numId w:val="0"/>
        </w:numPr>
        <w:ind w:firstLine="720" w:firstLineChars="200"/>
        <w:jc w:val="both"/>
        <w:textAlignment w:val="center"/>
        <w:rPr>
          <w:rFonts w:hint="eastAsia" w:ascii="黑体" w:eastAsia="黑体"/>
          <w:color w:val="auto"/>
          <w:sz w:val="36"/>
          <w:szCs w:val="36"/>
        </w:rPr>
      </w:pPr>
      <w:r>
        <w:rPr>
          <w:rFonts w:hint="eastAsia" w:ascii="黑体" w:eastAsia="黑体"/>
          <w:color w:val="auto"/>
          <w:sz w:val="36"/>
          <w:szCs w:val="36"/>
          <w:lang w:eastAsia="zh-CN"/>
        </w:rPr>
        <w:t>（</w:t>
      </w:r>
      <w:r>
        <w:rPr>
          <w:rFonts w:hint="eastAsia" w:ascii="黑体" w:eastAsia="黑体"/>
          <w:color w:val="auto"/>
          <w:sz w:val="36"/>
          <w:szCs w:val="36"/>
          <w:lang w:val="en-US" w:eastAsia="zh-CN"/>
        </w:rPr>
        <w:t>8</w:t>
      </w:r>
      <w:r>
        <w:rPr>
          <w:rFonts w:hint="eastAsia" w:ascii="黑体" w:eastAsia="黑体"/>
          <w:color w:val="auto"/>
          <w:sz w:val="36"/>
          <w:szCs w:val="36"/>
          <w:lang w:eastAsia="zh-CN"/>
        </w:rPr>
        <w:t>）</w:t>
      </w:r>
      <w:r>
        <w:rPr>
          <w:rFonts w:hint="eastAsia" w:ascii="黑体" w:eastAsia="黑体"/>
          <w:color w:val="auto"/>
          <w:sz w:val="36"/>
          <w:szCs w:val="36"/>
        </w:rPr>
        <w:t>云南中医药大学舆情处置备案登记表</w:t>
      </w:r>
    </w:p>
    <w:p>
      <w:pPr>
        <w:widowControl/>
        <w:textAlignment w:val="center"/>
        <w:rPr>
          <w:rFonts w:hint="eastAsia" w:ascii="黑体" w:eastAsia="黑体"/>
          <w:color w:val="auto"/>
          <w:sz w:val="36"/>
          <w:szCs w:val="36"/>
        </w:rPr>
      </w:pPr>
    </w:p>
    <w:tbl>
      <w:tblPr>
        <w:tblStyle w:val="6"/>
        <w:tblW w:w="8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428"/>
        <w:gridCol w:w="885"/>
        <w:gridCol w:w="273"/>
        <w:gridCol w:w="1000"/>
        <w:gridCol w:w="878"/>
        <w:gridCol w:w="393"/>
        <w:gridCol w:w="444"/>
        <w:gridCol w:w="485"/>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391" w:type="dxa"/>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报告部门</w:t>
            </w:r>
          </w:p>
        </w:tc>
        <w:tc>
          <w:tcPr>
            <w:tcW w:w="2586" w:type="dxa"/>
            <w:gridSpan w:val="3"/>
            <w:noWrap w:val="0"/>
            <w:vAlign w:val="center"/>
          </w:tcPr>
          <w:p>
            <w:pPr>
              <w:spacing w:line="400" w:lineRule="exact"/>
              <w:jc w:val="center"/>
              <w:rPr>
                <w:rFonts w:hint="eastAsia" w:ascii="仿宋" w:hAnsi="仿宋" w:eastAsia="仿宋" w:cs="仿宋"/>
                <w:color w:val="auto"/>
                <w:sz w:val="24"/>
                <w:szCs w:val="24"/>
              </w:rPr>
            </w:pPr>
          </w:p>
        </w:tc>
        <w:tc>
          <w:tcPr>
            <w:tcW w:w="1000" w:type="dxa"/>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负责人</w:t>
            </w:r>
          </w:p>
        </w:tc>
        <w:tc>
          <w:tcPr>
            <w:tcW w:w="1271" w:type="dxa"/>
            <w:gridSpan w:val="2"/>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929" w:type="dxa"/>
            <w:gridSpan w:val="2"/>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c>
          <w:tcPr>
            <w:tcW w:w="1632" w:type="dxa"/>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39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舆情来源</w:t>
            </w:r>
          </w:p>
        </w:tc>
        <w:tc>
          <w:tcPr>
            <w:tcW w:w="7418" w:type="dxa"/>
            <w:gridSpan w:val="9"/>
            <w:noWrap w:val="0"/>
            <w:vAlign w:val="center"/>
          </w:tcPr>
          <w:p>
            <w:pPr>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39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舆情类别</w:t>
            </w:r>
          </w:p>
        </w:tc>
        <w:tc>
          <w:tcPr>
            <w:tcW w:w="7418" w:type="dxa"/>
            <w:gridSpan w:val="9"/>
            <w:noWrap w:val="0"/>
            <w:vAlign w:val="center"/>
          </w:tcPr>
          <w:p>
            <w:pPr>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人事改革</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教育经费</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招生考试</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教学科研</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就业创业</w:t>
            </w:r>
            <w:r>
              <w:rPr>
                <w:rFonts w:hint="eastAsia" w:ascii="仿宋" w:hAnsi="仿宋" w:eastAsia="仿宋" w:cs="仿宋"/>
                <w:color w:val="auto"/>
                <w:sz w:val="24"/>
                <w:szCs w:val="24"/>
              </w:rPr>
              <w:sym w:font="Wingdings 2" w:char="00A3"/>
            </w:r>
          </w:p>
          <w:p>
            <w:pPr>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后勤保障</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医疗服务</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安全稳定</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校园生活</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宗教问题</w:t>
            </w:r>
            <w:r>
              <w:rPr>
                <w:rFonts w:hint="eastAsia" w:ascii="仿宋" w:hAnsi="仿宋" w:eastAsia="仿宋" w:cs="仿宋"/>
                <w:color w:val="auto"/>
                <w:sz w:val="24"/>
                <w:szCs w:val="24"/>
              </w:rPr>
              <w:sym w:font="Wingdings 2" w:char="00A3"/>
            </w:r>
          </w:p>
          <w:p>
            <w:pPr>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其他</w:t>
            </w:r>
            <w:r>
              <w:rPr>
                <w:rFonts w:hint="eastAsia" w:ascii="仿宋" w:hAnsi="仿宋" w:eastAsia="仿宋" w:cs="仿宋"/>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6" w:hRule="atLeast"/>
          <w:jc w:val="center"/>
        </w:trPr>
        <w:tc>
          <w:tcPr>
            <w:tcW w:w="1391" w:type="dxa"/>
            <w:noWrap w:val="0"/>
            <w:vAlign w:val="center"/>
          </w:tcPr>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舆情描述</w:t>
            </w:r>
          </w:p>
        </w:tc>
        <w:tc>
          <w:tcPr>
            <w:tcW w:w="7418" w:type="dxa"/>
            <w:gridSpan w:val="9"/>
            <w:noWrap w:val="0"/>
            <w:vAlign w:val="center"/>
          </w:tcPr>
          <w:p>
            <w:pPr>
              <w:spacing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391" w:type="dxa"/>
            <w:noWrap w:val="0"/>
            <w:vAlign w:val="center"/>
          </w:tcPr>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等级预判</w:t>
            </w:r>
          </w:p>
        </w:tc>
        <w:tc>
          <w:tcPr>
            <w:tcW w:w="7418" w:type="dxa"/>
            <w:gridSpan w:val="9"/>
            <w:noWrap w:val="0"/>
            <w:vAlign w:val="center"/>
          </w:tcPr>
          <w:p>
            <w:pPr>
              <w:spacing w:line="4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一般舆情</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较大舆情</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   重大舆情</w:t>
            </w:r>
            <w:r>
              <w:rPr>
                <w:rFonts w:hint="eastAsia" w:ascii="仿宋" w:hAnsi="仿宋" w:eastAsia="仿宋" w:cs="仿宋"/>
                <w:color w:val="auto"/>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1" w:type="dxa"/>
            <w:noWrap w:val="0"/>
            <w:vAlign w:val="center"/>
          </w:tcPr>
          <w:p>
            <w:pPr>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填表人</w:t>
            </w:r>
          </w:p>
        </w:tc>
        <w:tc>
          <w:tcPr>
            <w:tcW w:w="1428" w:type="dxa"/>
            <w:noWrap w:val="0"/>
            <w:vAlign w:val="center"/>
          </w:tcPr>
          <w:p>
            <w:pPr>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885" w:type="dxa"/>
            <w:noWrap w:val="0"/>
            <w:vAlign w:val="center"/>
          </w:tcPr>
          <w:p>
            <w:pPr>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c>
          <w:tcPr>
            <w:tcW w:w="2151" w:type="dxa"/>
            <w:gridSpan w:val="3"/>
            <w:noWrap w:val="0"/>
            <w:vAlign w:val="center"/>
          </w:tcPr>
          <w:p>
            <w:pPr>
              <w:spacing w:line="440" w:lineRule="exact"/>
              <w:jc w:val="center"/>
              <w:rPr>
                <w:rFonts w:hint="eastAsia" w:ascii="仿宋" w:hAnsi="仿宋" w:eastAsia="仿宋" w:cs="仿宋"/>
                <w:color w:val="auto"/>
                <w:sz w:val="24"/>
                <w:szCs w:val="24"/>
              </w:rPr>
            </w:pPr>
          </w:p>
        </w:tc>
        <w:tc>
          <w:tcPr>
            <w:tcW w:w="837" w:type="dxa"/>
            <w:gridSpan w:val="2"/>
            <w:noWrap w:val="0"/>
            <w:vAlign w:val="center"/>
          </w:tcPr>
          <w:p>
            <w:pPr>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2117" w:type="dxa"/>
            <w:gridSpan w:val="2"/>
            <w:noWrap w:val="0"/>
            <w:vAlign w:val="center"/>
          </w:tcPr>
          <w:p>
            <w:pPr>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39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报告</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w:t>
            </w:r>
          </w:p>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处理</w:t>
            </w:r>
          </w:p>
          <w:p>
            <w:pPr>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w:t>
            </w:r>
          </w:p>
        </w:tc>
        <w:tc>
          <w:tcPr>
            <w:tcW w:w="7418" w:type="dxa"/>
            <w:gridSpan w:val="9"/>
            <w:noWrap w:val="0"/>
            <w:vAlign w:val="center"/>
          </w:tcPr>
          <w:p>
            <w:pPr>
              <w:spacing w:line="560" w:lineRule="exact"/>
              <w:ind w:right="60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560" w:lineRule="exact"/>
              <w:ind w:right="600"/>
              <w:jc w:val="center"/>
              <w:rPr>
                <w:rFonts w:hint="eastAsia" w:ascii="仿宋" w:hAnsi="仿宋" w:eastAsia="仿宋" w:cs="仿宋"/>
                <w:color w:val="auto"/>
                <w:sz w:val="24"/>
                <w:szCs w:val="24"/>
              </w:rPr>
            </w:pPr>
          </w:p>
          <w:p>
            <w:pPr>
              <w:spacing w:line="560" w:lineRule="exact"/>
              <w:ind w:right="600"/>
              <w:jc w:val="center"/>
              <w:rPr>
                <w:rFonts w:hint="eastAsia" w:ascii="仿宋" w:hAnsi="仿宋" w:eastAsia="仿宋" w:cs="仿宋"/>
                <w:color w:val="auto"/>
                <w:sz w:val="24"/>
                <w:szCs w:val="24"/>
              </w:rPr>
            </w:pPr>
          </w:p>
          <w:p>
            <w:pPr>
              <w:spacing w:line="560" w:lineRule="exact"/>
              <w:ind w:right="60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（签章）</w:t>
            </w:r>
          </w:p>
          <w:p>
            <w:pPr>
              <w:spacing w:line="400" w:lineRule="exact"/>
              <w:ind w:firstLine="240" w:firstLineChars="10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jc w:val="center"/>
        </w:trPr>
        <w:tc>
          <w:tcPr>
            <w:tcW w:w="1391" w:type="dxa"/>
            <w:noWrap w:val="0"/>
            <w:vAlign w:val="center"/>
          </w:tcPr>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审批</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部门</w:t>
            </w:r>
          </w:p>
          <w:p>
            <w:pPr>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w:t>
            </w:r>
          </w:p>
        </w:tc>
        <w:tc>
          <w:tcPr>
            <w:tcW w:w="7418" w:type="dxa"/>
            <w:gridSpan w:val="9"/>
            <w:noWrap w:val="0"/>
            <w:vAlign w:val="bottom"/>
          </w:tcPr>
          <w:p>
            <w:pPr>
              <w:spacing w:line="560" w:lineRule="exact"/>
              <w:ind w:right="60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（签章）</w:t>
            </w:r>
          </w:p>
          <w:p>
            <w:pPr>
              <w:spacing w:line="560" w:lineRule="exact"/>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tc>
      </w:tr>
    </w:tbl>
    <w:p>
      <w:pPr>
        <w:rPr>
          <w:color w:val="auto"/>
        </w:rPr>
      </w:pPr>
      <w:r>
        <w:rPr>
          <w:rFonts w:hint="eastAsia"/>
          <w:color w:val="auto"/>
          <w:lang w:eastAsia="zh-CN"/>
        </w:rPr>
        <w:t>党委</w:t>
      </w:r>
      <w:r>
        <w:rPr>
          <w:rFonts w:hint="eastAsia"/>
          <w:color w:val="auto"/>
        </w:rPr>
        <w:t xml:space="preserve">宣传部（新闻中心）制作  </w:t>
      </w:r>
    </w:p>
    <w:p>
      <w:pPr>
        <w:pStyle w:val="5"/>
        <w:numPr>
          <w:ilvl w:val="0"/>
          <w:numId w:val="0"/>
        </w:numPr>
        <w:spacing w:line="600" w:lineRule="exact"/>
        <w:rPr>
          <w:rFonts w:hint="eastAsia" w:ascii="方正小标宋简体" w:hAnsi="方正小标宋简体" w:eastAsia="方正小标宋简体" w:cs="方正小标宋简体"/>
          <w:color w:val="auto"/>
          <w:sz w:val="36"/>
          <w:szCs w:val="36"/>
          <w:lang w:val="en-US" w:eastAsia="zh-CN"/>
        </w:rPr>
      </w:pPr>
      <w:bookmarkStart w:id="8" w:name="_Toc22024"/>
    </w:p>
    <w:p>
      <w:pPr>
        <w:pStyle w:val="5"/>
        <w:numPr>
          <w:ilvl w:val="0"/>
          <w:numId w:val="0"/>
        </w:numPr>
        <w:spacing w:line="60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附件4</w:t>
      </w:r>
    </w:p>
    <w:p>
      <w:pPr>
        <w:pStyle w:val="5"/>
        <w:numPr>
          <w:ilvl w:val="0"/>
          <w:numId w:val="0"/>
        </w:numPr>
        <w:spacing w:line="60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云南中医药大学宣传思想工作负责人及</w:t>
      </w:r>
    </w:p>
    <w:p>
      <w:pPr>
        <w:pStyle w:val="5"/>
        <w:numPr>
          <w:ilvl w:val="0"/>
          <w:numId w:val="0"/>
        </w:numPr>
        <w:spacing w:line="600" w:lineRule="exact"/>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管理员联系表</w:t>
      </w:r>
      <w:bookmarkEnd w:id="8"/>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统计时间:2019年5月</w:t>
      </w:r>
      <w:r>
        <w:rPr>
          <w:rFonts w:hint="eastAsia" w:ascii="仿宋_GB2312" w:hAnsi="仿宋_GB2312" w:eastAsia="仿宋_GB2312" w:cs="仿宋_GB2312"/>
          <w:color w:val="auto"/>
          <w:sz w:val="24"/>
          <w:szCs w:val="24"/>
          <w:lang w:eastAsia="zh-CN"/>
        </w:rPr>
        <w:t>）</w:t>
      </w:r>
    </w:p>
    <w:tbl>
      <w:tblPr>
        <w:tblStyle w:val="6"/>
        <w:tblW w:w="9270" w:type="dxa"/>
        <w:tblInd w:w="0" w:type="dxa"/>
        <w:tblLayout w:type="fixed"/>
        <w:tblCellMar>
          <w:top w:w="0" w:type="dxa"/>
          <w:left w:w="0" w:type="dxa"/>
          <w:bottom w:w="0" w:type="dxa"/>
          <w:right w:w="0" w:type="dxa"/>
        </w:tblCellMar>
      </w:tblPr>
      <w:tblGrid>
        <w:gridCol w:w="1494"/>
        <w:gridCol w:w="1203"/>
        <w:gridCol w:w="1326"/>
        <w:gridCol w:w="1119"/>
        <w:gridCol w:w="1503"/>
        <w:gridCol w:w="2625"/>
      </w:tblGrid>
      <w:tr>
        <w:tblPrEx>
          <w:tblLayout w:type="fixed"/>
          <w:tblCellMar>
            <w:top w:w="0" w:type="dxa"/>
            <w:left w:w="0" w:type="dxa"/>
            <w:bottom w:w="0" w:type="dxa"/>
            <w:right w:w="0" w:type="dxa"/>
          </w:tblCellMar>
        </w:tblPrEx>
        <w:trPr>
          <w:trHeight w:val="836" w:hRule="atLeast"/>
        </w:trPr>
        <w:tc>
          <w:tcPr>
            <w:tcW w:w="14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auto"/>
                <w:szCs w:val="21"/>
              </w:rPr>
            </w:pPr>
            <w:r>
              <w:rPr>
                <w:rFonts w:hint="eastAsia" w:ascii="仿宋" w:hAnsi="仿宋" w:eastAsia="仿宋" w:cs="仿宋"/>
                <w:b/>
                <w:color w:val="auto"/>
                <w:kern w:val="0"/>
                <w:szCs w:val="21"/>
                <w:lang w:bidi="ar"/>
              </w:rPr>
              <w:t>单位（部门）</w:t>
            </w:r>
          </w:p>
        </w:tc>
        <w:tc>
          <w:tcPr>
            <w:tcW w:w="12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kern w:val="0"/>
                <w:szCs w:val="21"/>
                <w:lang w:bidi="ar"/>
              </w:rPr>
            </w:pPr>
            <w:r>
              <w:rPr>
                <w:rFonts w:hint="eastAsia" w:ascii="仿宋" w:hAnsi="仿宋" w:eastAsia="仿宋" w:cs="仿宋"/>
                <w:b/>
                <w:color w:val="auto"/>
                <w:kern w:val="0"/>
                <w:szCs w:val="21"/>
                <w:lang w:bidi="ar"/>
              </w:rPr>
              <w:t>宣传思想</w:t>
            </w:r>
          </w:p>
          <w:p>
            <w:pPr>
              <w:widowControl/>
              <w:jc w:val="center"/>
              <w:textAlignment w:val="center"/>
              <w:rPr>
                <w:rFonts w:hint="eastAsia" w:ascii="仿宋" w:hAnsi="仿宋" w:eastAsia="仿宋" w:cs="仿宋"/>
                <w:b/>
                <w:color w:val="auto"/>
                <w:szCs w:val="21"/>
              </w:rPr>
            </w:pPr>
            <w:r>
              <w:rPr>
                <w:rFonts w:hint="eastAsia" w:ascii="仿宋" w:hAnsi="仿宋" w:eastAsia="仿宋" w:cs="仿宋"/>
                <w:b/>
                <w:color w:val="auto"/>
                <w:kern w:val="0"/>
                <w:szCs w:val="21"/>
                <w:lang w:bidi="ar"/>
              </w:rPr>
              <w:t>工作负责人</w:t>
            </w:r>
          </w:p>
        </w:tc>
        <w:tc>
          <w:tcPr>
            <w:tcW w:w="132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Cs w:val="21"/>
              </w:rPr>
            </w:pPr>
            <w:r>
              <w:rPr>
                <w:rFonts w:hint="eastAsia" w:ascii="仿宋" w:hAnsi="仿宋" w:eastAsia="仿宋" w:cs="仿宋"/>
                <w:b/>
                <w:color w:val="auto"/>
                <w:kern w:val="0"/>
                <w:szCs w:val="21"/>
                <w:lang w:bidi="ar"/>
              </w:rPr>
              <w:t>联系方式</w:t>
            </w:r>
          </w:p>
        </w:tc>
        <w:tc>
          <w:tcPr>
            <w:tcW w:w="11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kern w:val="0"/>
                <w:szCs w:val="21"/>
                <w:lang w:bidi="ar"/>
              </w:rPr>
            </w:pPr>
            <w:r>
              <w:rPr>
                <w:rFonts w:hint="eastAsia" w:ascii="仿宋" w:hAnsi="仿宋" w:eastAsia="仿宋" w:cs="仿宋"/>
                <w:b/>
                <w:color w:val="auto"/>
                <w:kern w:val="0"/>
                <w:szCs w:val="21"/>
                <w:lang w:bidi="ar"/>
              </w:rPr>
              <w:t>宣传信息</w:t>
            </w:r>
          </w:p>
          <w:p>
            <w:pPr>
              <w:widowControl/>
              <w:jc w:val="center"/>
              <w:textAlignment w:val="center"/>
              <w:rPr>
                <w:rFonts w:hint="eastAsia" w:ascii="仿宋" w:hAnsi="仿宋" w:eastAsia="仿宋" w:cs="仿宋"/>
                <w:b/>
                <w:color w:val="auto"/>
                <w:szCs w:val="21"/>
              </w:rPr>
            </w:pPr>
            <w:r>
              <w:rPr>
                <w:rFonts w:hint="eastAsia" w:ascii="仿宋" w:hAnsi="仿宋" w:eastAsia="仿宋" w:cs="仿宋"/>
                <w:b/>
                <w:color w:val="auto"/>
                <w:kern w:val="0"/>
                <w:szCs w:val="21"/>
                <w:lang w:bidi="ar"/>
              </w:rPr>
              <w:t>管理员</w:t>
            </w:r>
          </w:p>
        </w:tc>
        <w:tc>
          <w:tcPr>
            <w:tcW w:w="15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Cs w:val="21"/>
              </w:rPr>
            </w:pPr>
            <w:r>
              <w:rPr>
                <w:rFonts w:hint="eastAsia" w:ascii="仿宋" w:hAnsi="仿宋" w:eastAsia="仿宋" w:cs="仿宋"/>
                <w:b/>
                <w:color w:val="auto"/>
                <w:kern w:val="0"/>
                <w:szCs w:val="21"/>
                <w:lang w:bidi="ar"/>
              </w:rPr>
              <w:t>联系方式</w:t>
            </w:r>
          </w:p>
        </w:tc>
        <w:tc>
          <w:tcPr>
            <w:tcW w:w="26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Cs w:val="21"/>
              </w:rPr>
            </w:pPr>
            <w:r>
              <w:rPr>
                <w:rFonts w:hint="eastAsia" w:ascii="仿宋" w:hAnsi="仿宋" w:eastAsia="仿宋" w:cs="仿宋"/>
                <w:b/>
                <w:color w:val="auto"/>
                <w:kern w:val="0"/>
                <w:szCs w:val="21"/>
                <w:lang w:bidi="ar"/>
              </w:rPr>
              <w:t>阵地数量</w:t>
            </w:r>
          </w:p>
        </w:tc>
      </w:tr>
      <w:tr>
        <w:tblPrEx>
          <w:tblLayout w:type="fixed"/>
          <w:tblCellMar>
            <w:top w:w="0" w:type="dxa"/>
            <w:left w:w="0" w:type="dxa"/>
            <w:bottom w:w="0" w:type="dxa"/>
            <w:right w:w="0" w:type="dxa"/>
          </w:tblCellMar>
        </w:tblPrEx>
        <w:trPr>
          <w:trHeight w:val="850" w:hRule="atLeast"/>
        </w:trPr>
        <w:tc>
          <w:tcPr>
            <w:tcW w:w="149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党委办公室、校长办公室、机关党委(合署)</w:t>
            </w:r>
          </w:p>
        </w:tc>
        <w:tc>
          <w:tcPr>
            <w:tcW w:w="12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杨鹤清</w:t>
            </w:r>
          </w:p>
        </w:tc>
        <w:tc>
          <w:tcPr>
            <w:tcW w:w="132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13888173293</w:t>
            </w:r>
          </w:p>
        </w:tc>
        <w:tc>
          <w:tcPr>
            <w:tcW w:w="111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李春青</w:t>
            </w:r>
          </w:p>
        </w:tc>
        <w:tc>
          <w:tcPr>
            <w:tcW w:w="15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13398718119</w:t>
            </w:r>
          </w:p>
        </w:tc>
        <w:tc>
          <w:tcPr>
            <w:tcW w:w="26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校园网二级网页2个，工作QQ群3个、微信群2个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党委组织部、党委统战部、党校、扶贫办（合署）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张云富</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65918258</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蔡林礼</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65918257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校园网二级网页1个，工作QQ群3个、微信群2个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纪委办公室、监察室(合署)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黄鹤</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65918260</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欧阳继林</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65918263</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宣传栏2块，校园网二级网页1个，微信平台1个，工作QQ群2个、微信群2个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党委宣传部、新闻中心（合署)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侯宾</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13577182056</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孙颖</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15974802252</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宣传栏28块，校园网主页、校园网二级网页2个，工作QQ群1个、微信群1个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人事处、职改办(合署)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常傲冰</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13888085057</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杨阳</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叶世隆</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15877915849</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13888197449</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校园网二级网页1个，工作QQ群9个、微信群1个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党委学工部、学生处、武装部（合署）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李正良</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13700617910</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蒋仕菁</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18687158395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w:t>
            </w:r>
            <w:r>
              <w:rPr>
                <w:rStyle w:val="8"/>
                <w:rFonts w:hint="default" w:ascii="仿宋" w:hAnsi="仿宋" w:eastAsia="仿宋" w:cs="仿宋"/>
                <w:color w:val="auto"/>
                <w:sz w:val="21"/>
                <w:szCs w:val="21"/>
                <w:lang w:bidi="ar"/>
              </w:rPr>
              <w:t>4块</w:t>
            </w:r>
            <w:r>
              <w:rPr>
                <w:rStyle w:val="9"/>
                <w:rFonts w:hint="default" w:ascii="仿宋" w:hAnsi="仿宋" w:eastAsia="仿宋" w:cs="仿宋"/>
                <w:color w:val="auto"/>
                <w:sz w:val="21"/>
                <w:szCs w:val="21"/>
                <w:lang w:bidi="ar"/>
              </w:rPr>
              <w:t>，校园网二级网页1个，两微平台3个，工作QQ群3个、微信群3个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党委研工部、研究生处（合署）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罗兵</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13619699112</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贾婧蓥</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13987630372</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校园网二级网页1个，两微平台1个，工作QQ群1个、微信群2个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教务处、教师发展中心（合署）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张庆芝</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13888396896</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卢小英</w:t>
            </w:r>
          </w:p>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马玉</w:t>
            </w:r>
          </w:p>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高洁</w:t>
            </w:r>
          </w:p>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张树媛</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夏永辉</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13678740729</w:t>
            </w:r>
          </w:p>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13987602908</w:t>
            </w:r>
          </w:p>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13888839550</w:t>
            </w:r>
          </w:p>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18206860992</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13700629809</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宣传栏2块，校园网二级网页4个，两微平台1个，工作QQ群2个、微信群1个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科技处（含科研实验中心）</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陈文慧</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13700690775</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李莉、毛羽</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13888648018</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13888029030</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w:t>
            </w:r>
            <w:r>
              <w:rPr>
                <w:rStyle w:val="8"/>
                <w:rFonts w:hint="default" w:ascii="仿宋" w:hAnsi="仿宋" w:eastAsia="仿宋" w:cs="仿宋"/>
                <w:color w:val="auto"/>
                <w:sz w:val="21"/>
                <w:szCs w:val="21"/>
                <w:lang w:bidi="ar"/>
              </w:rPr>
              <w:t>1块</w:t>
            </w:r>
            <w:r>
              <w:rPr>
                <w:rStyle w:val="9"/>
                <w:rFonts w:hint="default" w:ascii="仿宋" w:hAnsi="仿宋" w:eastAsia="仿宋" w:cs="仿宋"/>
                <w:color w:val="auto"/>
                <w:sz w:val="21"/>
                <w:szCs w:val="21"/>
                <w:lang w:bidi="ar"/>
              </w:rPr>
              <w:t>，校园网二级网页1个，工作QQ群3个、微信群3个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国际合作交流处、港澳台办、国际教育学院（合署）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孙永林</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13629429840</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李自智</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13608858617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校园网二级网页1个，工作QQ群2个、微信群3个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计划财务处</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周家能</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65918179</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王黎</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袁启义</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65918177</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65918178</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宣传栏2块，校园网二级网页1个，微信平台1个，工作QQ群2个、微信群2个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资产处</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傅燕春</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13888515998</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65918245</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吴艳霞</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13648845204</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65918247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校园网二级网页1个，工作QQ群2个、微信群5个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保卫处</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秦红军</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13529069311</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杜尚杰</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浦语琳</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18288786127</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18230468554</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宣传栏2块，校园网二级网页1个，微信平台1个，工作QQ群0个、微信群1个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离退休工作处</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张玲</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66213671</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桂腾波</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66213670</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w:t>
            </w:r>
            <w:r>
              <w:rPr>
                <w:rStyle w:val="8"/>
                <w:rFonts w:hint="default" w:ascii="仿宋" w:hAnsi="仿宋" w:eastAsia="仿宋" w:cs="仿宋"/>
                <w:color w:val="auto"/>
                <w:sz w:val="21"/>
                <w:szCs w:val="21"/>
                <w:lang w:bidi="ar"/>
              </w:rPr>
              <w:t>18块</w:t>
            </w:r>
            <w:r>
              <w:rPr>
                <w:rStyle w:val="9"/>
                <w:rFonts w:hint="default" w:ascii="仿宋" w:hAnsi="仿宋" w:eastAsia="仿宋" w:cs="仿宋"/>
                <w:color w:val="auto"/>
                <w:sz w:val="21"/>
                <w:szCs w:val="21"/>
                <w:lang w:bidi="ar"/>
              </w:rPr>
              <w:t>，校园网二级网页1个，</w:t>
            </w:r>
            <w:r>
              <w:rPr>
                <w:rStyle w:val="8"/>
                <w:rFonts w:hint="default" w:ascii="仿宋" w:hAnsi="仿宋" w:eastAsia="仿宋" w:cs="仿宋"/>
                <w:color w:val="auto"/>
                <w:sz w:val="21"/>
                <w:szCs w:val="21"/>
                <w:lang w:bidi="ar"/>
              </w:rPr>
              <w:t>微</w:t>
            </w:r>
            <w:r>
              <w:rPr>
                <w:rStyle w:val="9"/>
                <w:rFonts w:hint="default" w:ascii="仿宋" w:hAnsi="仿宋" w:eastAsia="仿宋" w:cs="仿宋"/>
                <w:color w:val="auto"/>
                <w:sz w:val="21"/>
                <w:szCs w:val="21"/>
                <w:lang w:bidi="ar"/>
              </w:rPr>
              <w:t>信平台1个，工作微信群2个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审计处</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张丽</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13700693338</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孙亚娟</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18725108258</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工作QQ群1个、微信群1个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基建处</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罗文章</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13888370668</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徐宏</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13698787688</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校园网二级网页1个，工作QQ群1个、微信群1个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工会、女职工委员会(合署)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李继康</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13678796265</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13888596930</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郭瑜</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13678796265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w:t>
            </w:r>
            <w:r>
              <w:rPr>
                <w:rStyle w:val="8"/>
                <w:rFonts w:hint="default" w:ascii="仿宋" w:hAnsi="仿宋" w:eastAsia="仿宋" w:cs="仿宋"/>
                <w:color w:val="auto"/>
                <w:sz w:val="21"/>
                <w:szCs w:val="21"/>
                <w:lang w:bidi="ar"/>
              </w:rPr>
              <w:t>2块</w:t>
            </w:r>
            <w:r>
              <w:rPr>
                <w:rStyle w:val="9"/>
                <w:rFonts w:hint="default" w:ascii="仿宋" w:hAnsi="仿宋" w:eastAsia="仿宋" w:cs="仿宋"/>
                <w:color w:val="auto"/>
                <w:sz w:val="21"/>
                <w:szCs w:val="21"/>
                <w:lang w:bidi="ar"/>
              </w:rPr>
              <w:t>，工作QQ群1个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团委</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张颖</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13518713037</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浦仕通</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13759100070</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w:t>
            </w:r>
            <w:r>
              <w:rPr>
                <w:rStyle w:val="8"/>
                <w:rFonts w:hint="default" w:ascii="仿宋" w:hAnsi="仿宋" w:eastAsia="仿宋" w:cs="仿宋"/>
                <w:color w:val="auto"/>
                <w:sz w:val="21"/>
                <w:szCs w:val="21"/>
                <w:lang w:bidi="ar"/>
              </w:rPr>
              <w:t>9块</w:t>
            </w:r>
            <w:r>
              <w:rPr>
                <w:rStyle w:val="9"/>
                <w:rFonts w:hint="default" w:ascii="仿宋" w:hAnsi="仿宋" w:eastAsia="仿宋" w:cs="仿宋"/>
                <w:color w:val="auto"/>
                <w:sz w:val="21"/>
                <w:szCs w:val="21"/>
                <w:lang w:bidi="ar"/>
              </w:rPr>
              <w:t>，校园网二级网页1个，微信平台4个，工作QQ群4个、微信群3个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基础医学院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卞瑶</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13577190587</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杨洋</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15288366534</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w:t>
            </w:r>
            <w:r>
              <w:rPr>
                <w:rStyle w:val="8"/>
                <w:rFonts w:hint="default" w:ascii="仿宋" w:hAnsi="仿宋" w:eastAsia="仿宋" w:cs="仿宋"/>
                <w:color w:val="auto"/>
                <w:sz w:val="21"/>
                <w:szCs w:val="21"/>
                <w:lang w:bidi="ar"/>
              </w:rPr>
              <w:t>1块</w:t>
            </w:r>
            <w:r>
              <w:rPr>
                <w:rStyle w:val="9"/>
                <w:rFonts w:hint="default" w:ascii="仿宋" w:hAnsi="仿宋" w:eastAsia="仿宋" w:cs="仿宋"/>
                <w:color w:val="auto"/>
                <w:sz w:val="21"/>
                <w:szCs w:val="21"/>
                <w:lang w:bidi="ar"/>
              </w:rPr>
              <w:t>，校园网二级网页1个，微信平台2个，工作QQ群5个、微信群25个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中药学院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徐福荣</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13759178255</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李红芳</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15911527274</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宣传栏2块，校园网二级网页1个，工作QQ群13个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护理学院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苏云竹</w:t>
            </w:r>
            <w:bookmarkStart w:id="9" w:name="_GoBack"/>
            <w:bookmarkEnd w:id="9"/>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苏云竹：13708402828</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毕立雄: 13759169145</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辛焕焕</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13888590313</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宣传栏2块，校园网二级网页1个，两微平台2个，工作QQ群4个、微信群1个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针灸推拿康复学院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王燕</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13888786640</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王丽娟</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杨延芳</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15877958893</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15284418255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w:t>
            </w:r>
            <w:r>
              <w:rPr>
                <w:rStyle w:val="8"/>
                <w:rFonts w:hint="default" w:ascii="仿宋" w:hAnsi="仿宋" w:eastAsia="仿宋" w:cs="仿宋"/>
                <w:color w:val="auto"/>
                <w:sz w:val="21"/>
                <w:szCs w:val="21"/>
                <w:lang w:bidi="ar"/>
              </w:rPr>
              <w:t>15块</w:t>
            </w:r>
            <w:r>
              <w:rPr>
                <w:rStyle w:val="9"/>
                <w:rFonts w:hint="default" w:ascii="仿宋" w:hAnsi="仿宋" w:eastAsia="仿宋" w:cs="仿宋"/>
                <w:color w:val="auto"/>
                <w:sz w:val="21"/>
                <w:szCs w:val="21"/>
                <w:lang w:bidi="ar"/>
              </w:rPr>
              <w:t>，校园网二级网页1个，两微平台5个，工作QQ群53个、微信群15个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人文与管理学院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陈守聪</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13888425643</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吕红培</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15825253386</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宣传栏1块，校园网二级网页1个，两微平台1个，工作QQ群5个、微信群3个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民族医药学院、民族医药博物馆（合署）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何红平</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13064282878</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冯泽辉</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13987662892</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宣传栏1块（环校路展板），博物馆二楼办公室走廊2块，校园网页3个（学院一个、博物馆一</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个、民药学工一个）微博无，工作QQ群13个、微信群5个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信息学院、网络信息中心（合署）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杨莉</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向荣成</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13888345005</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13888922854</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李丽娇</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15877965374</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宣传栏1块，校园网二级网页1个，两微平台6个，工作QQ群37个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马克思主义学院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张丽</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13759556256</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苗丽</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13577083776</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宣传栏5块，校园网二级网页1个，工作QQ群1个、微信群1个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体育部</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彭丽民</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13658812226</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吴华</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13700638211</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宣传栏10块，校园网二级网页1个，工作QQ群3个、微信群2个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继续教育学院、职业技术学院（合署）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樊荣</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13888877007</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张黎</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13759460635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校园网二级网页1个，微信公众平台1个，工作QQ群2个、微信群2个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高等教育研究评估中心、规划发展办公室(合署)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赵怀清</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65919729</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太星丽</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18388262051</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校园网二级网页2个，工作QQ群2个、微信群2个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图书馆</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吕峰</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13708476979</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周游</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13033388847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宣传栏14块，校园网二级网页1个，两位平台1个，工作QQ群2个、微信群1个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学报编辑部</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徐建平</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15808819598</w:t>
            </w:r>
          </w:p>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65918211</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776491403@qq.com</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黄卫东</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13888729075</w:t>
            </w:r>
          </w:p>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65918212</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459423848@qq.com</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宣传栏3块，校园网二级网页1个，工作QQ群1个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成果转化与社会服务办公室</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曹磊</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13708876269</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蔡涛</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15969576869</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正在筹建中的校园网二级网页1个；其他还在筹划中</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就业创业指导中心、校友会办公室（合署)</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邹海舰</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13700693330</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伍健</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13669771585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宣传栏0块，校园网二级网页1个，两位平台1个，工作QQ群14个、微信群2个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后勤服务集团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lang w:eastAsia="zh-CN"/>
              </w:rPr>
            </w:pPr>
            <w:r>
              <w:rPr>
                <w:rFonts w:hint="eastAsia" w:ascii="仿宋" w:hAnsi="仿宋" w:eastAsia="仿宋" w:cs="仿宋"/>
                <w:color w:val="auto"/>
                <w:kern w:val="0"/>
                <w:szCs w:val="21"/>
                <w:lang w:eastAsia="zh-CN" w:bidi="ar"/>
              </w:rPr>
              <w:t>吕桢</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auto"/>
                <w:szCs w:val="21"/>
                <w:lang w:val="en-US" w:eastAsia="zh-CN"/>
              </w:rPr>
            </w:pPr>
            <w:r>
              <w:rPr>
                <w:rFonts w:hint="eastAsia" w:ascii="仿宋" w:hAnsi="仿宋" w:eastAsia="仿宋" w:cs="仿宋"/>
                <w:color w:val="auto"/>
                <w:kern w:val="0"/>
                <w:szCs w:val="21"/>
                <w:lang w:val="en-US" w:eastAsia="zh-CN" w:bidi="ar"/>
              </w:rPr>
              <w:t>13013301980</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浦同浩</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18788555297</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宣传栏1块，校园网二级网页1个，两位平台1个，工作QQ群2个、微信群4个</w:t>
            </w:r>
          </w:p>
        </w:tc>
      </w:tr>
      <w:tr>
        <w:tblPrEx>
          <w:tblLayout w:type="fixed"/>
          <w:tblCellMar>
            <w:top w:w="0" w:type="dxa"/>
            <w:left w:w="0" w:type="dxa"/>
            <w:bottom w:w="0" w:type="dxa"/>
            <w:right w:w="0" w:type="dxa"/>
          </w:tblCellMar>
        </w:tblPrEx>
        <w:trPr>
          <w:trHeight w:val="850" w:hRule="atLeast"/>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云南中医药大学第一附属医院</w:t>
            </w:r>
          </w:p>
        </w:tc>
        <w:tc>
          <w:tcPr>
            <w:tcW w:w="1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徐莉娅</w:t>
            </w:r>
          </w:p>
        </w:tc>
        <w:tc>
          <w:tcPr>
            <w:tcW w:w="1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63626585</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杨林芬</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宋艳丽</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Cs w:val="21"/>
                <w:lang w:bidi="ar"/>
              </w:rPr>
            </w:pPr>
            <w:r>
              <w:rPr>
                <w:rFonts w:hint="eastAsia" w:ascii="仿宋" w:hAnsi="仿宋" w:eastAsia="仿宋" w:cs="仿宋"/>
                <w:color w:val="auto"/>
                <w:kern w:val="0"/>
                <w:szCs w:val="21"/>
                <w:lang w:bidi="ar"/>
              </w:rPr>
              <w:t>15288334405</w:t>
            </w:r>
          </w:p>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18687187815</w:t>
            </w:r>
          </w:p>
        </w:tc>
        <w:tc>
          <w:tcPr>
            <w:tcW w:w="2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宣传栏27块，校园网二级网页1个，两位平台2个，微信群2个</w:t>
            </w:r>
          </w:p>
        </w:tc>
      </w:tr>
    </w:tbl>
    <w:p>
      <w:pPr>
        <w:spacing w:line="600" w:lineRule="exact"/>
        <w:jc w:val="center"/>
        <w:rPr>
          <w:rFonts w:hint="eastAsia" w:ascii="黑体" w:hAnsi="黑体" w:eastAsia="黑体" w:cs="黑体"/>
          <w:bCs/>
          <w:color w:val="auto"/>
          <w:kern w:val="44"/>
          <w:sz w:val="32"/>
          <w:szCs w:val="32"/>
        </w:rPr>
      </w:pPr>
    </w:p>
    <w:p>
      <w:pPr>
        <w:spacing w:line="600" w:lineRule="exact"/>
        <w:jc w:val="center"/>
        <w:rPr>
          <w:rFonts w:hint="eastAsia" w:ascii="黑体" w:hAnsi="黑体" w:eastAsia="黑体" w:cs="黑体"/>
          <w:bCs/>
          <w:color w:val="auto"/>
          <w:kern w:val="44"/>
          <w:sz w:val="32"/>
          <w:szCs w:val="32"/>
        </w:rPr>
      </w:pPr>
    </w:p>
    <w:p>
      <w:pPr>
        <w:spacing w:line="600" w:lineRule="exact"/>
        <w:jc w:val="center"/>
        <w:rPr>
          <w:rFonts w:hint="eastAsia" w:ascii="黑体" w:hAnsi="黑体" w:eastAsia="黑体" w:cs="黑体"/>
          <w:bCs/>
          <w:color w:val="auto"/>
          <w:kern w:val="44"/>
          <w:sz w:val="32"/>
          <w:szCs w:val="32"/>
        </w:rPr>
      </w:pPr>
    </w:p>
    <w:p>
      <w:pPr>
        <w:spacing w:line="600" w:lineRule="exact"/>
        <w:jc w:val="both"/>
        <w:rPr>
          <w:rFonts w:hint="eastAsia" w:ascii="仿宋" w:hAnsi="仿宋" w:eastAsia="仿宋" w:cs="仿宋"/>
          <w:bCs/>
          <w:color w:val="auto"/>
          <w:kern w:val="44"/>
          <w:sz w:val="32"/>
          <w:szCs w:val="32"/>
          <w:lang w:val="en-US" w:eastAsia="zh-CN"/>
        </w:rPr>
      </w:pPr>
      <w:r>
        <w:rPr>
          <w:rFonts w:hint="eastAsia" w:ascii="仿宋" w:hAnsi="仿宋" w:eastAsia="仿宋" w:cs="仿宋"/>
          <w:bCs/>
          <w:color w:val="auto"/>
          <w:kern w:val="44"/>
          <w:sz w:val="32"/>
          <w:szCs w:val="32"/>
          <w:lang w:eastAsia="zh-CN"/>
        </w:rPr>
        <w:t>附件</w:t>
      </w:r>
      <w:r>
        <w:rPr>
          <w:rFonts w:hint="eastAsia" w:ascii="仿宋" w:hAnsi="仿宋" w:eastAsia="仿宋" w:cs="仿宋"/>
          <w:bCs/>
          <w:color w:val="auto"/>
          <w:kern w:val="44"/>
          <w:sz w:val="32"/>
          <w:szCs w:val="32"/>
          <w:lang w:val="en-US" w:eastAsia="zh-CN"/>
        </w:rPr>
        <w:t>5</w:t>
      </w:r>
    </w:p>
    <w:p>
      <w:pPr>
        <w:spacing w:line="600" w:lineRule="exact"/>
        <w:ind w:firstLine="720" w:firstLineChars="200"/>
        <w:rPr>
          <w:rFonts w:ascii="黑体" w:hAnsi="黑体" w:eastAsia="黑体" w:cs="黑体"/>
          <w:bCs/>
          <w:color w:val="auto"/>
          <w:kern w:val="44"/>
          <w:sz w:val="36"/>
          <w:szCs w:val="36"/>
        </w:rPr>
      </w:pPr>
      <w:r>
        <w:rPr>
          <w:rFonts w:ascii="黑体" w:hAnsi="黑体" w:eastAsia="黑体" w:cs="黑体"/>
          <w:bCs/>
          <w:color w:val="auto"/>
          <w:kern w:val="44"/>
          <w:sz w:val="36"/>
          <w:szCs w:val="36"/>
        </w:rPr>
        <w:t>云南中医药大学融媒体联盟第一届理事单位名单</w:t>
      </w:r>
    </w:p>
    <w:p>
      <w:pPr>
        <w:spacing w:line="600" w:lineRule="exact"/>
        <w:jc w:val="center"/>
        <w:rPr>
          <w:rFonts w:hint="eastAsia" w:ascii="楷体_GB2312" w:hAnsi="仿宋" w:eastAsia="楷体_GB2312" w:cs="仿宋"/>
          <w:b/>
          <w:color w:val="auto"/>
          <w:sz w:val="32"/>
          <w:szCs w:val="22"/>
        </w:rPr>
      </w:pPr>
      <w:r>
        <w:rPr>
          <w:rFonts w:hint="eastAsia" w:ascii="楷体_GB2312" w:hAnsi="仿宋" w:eastAsia="楷体_GB2312" w:cs="仿宋"/>
          <w:b/>
          <w:color w:val="auto"/>
          <w:sz w:val="32"/>
          <w:szCs w:val="22"/>
        </w:rPr>
        <w:t>（排名不分先后）</w:t>
      </w:r>
    </w:p>
    <w:p>
      <w:pPr>
        <w:spacing w:line="600" w:lineRule="exact"/>
        <w:ind w:firstLine="640" w:firstLineChars="200"/>
        <w:rPr>
          <w:rFonts w:ascii="仿宋" w:hAnsi="仿宋" w:eastAsia="仿宋" w:cs="仿宋"/>
          <w:color w:val="auto"/>
          <w:sz w:val="32"/>
          <w:szCs w:val="22"/>
        </w:rPr>
      </w:pPr>
    </w:p>
    <w:p>
      <w:pPr>
        <w:spacing w:line="600" w:lineRule="exact"/>
        <w:ind w:firstLine="640" w:firstLineChars="200"/>
        <w:rPr>
          <w:rFonts w:ascii="黑体" w:hAnsi="黑体" w:eastAsia="黑体" w:cs="仿宋"/>
          <w:b w:val="0"/>
          <w:bCs w:val="0"/>
          <w:color w:val="auto"/>
          <w:sz w:val="32"/>
          <w:szCs w:val="22"/>
        </w:rPr>
      </w:pPr>
      <w:r>
        <w:rPr>
          <w:rFonts w:ascii="黑体" w:hAnsi="黑体" w:eastAsia="黑体" w:cs="仿宋"/>
          <w:b w:val="0"/>
          <w:bCs w:val="0"/>
          <w:color w:val="auto"/>
          <w:sz w:val="32"/>
          <w:szCs w:val="22"/>
        </w:rPr>
        <w:t>一、校内组成部门</w:t>
      </w:r>
    </w:p>
    <w:p>
      <w:pPr>
        <w:spacing w:line="600" w:lineRule="exact"/>
        <w:ind w:firstLine="640" w:firstLineChars="200"/>
        <w:rPr>
          <w:rFonts w:ascii="仿宋" w:hAnsi="仿宋" w:eastAsia="仿宋" w:cs="仿宋"/>
          <w:color w:val="auto"/>
          <w:sz w:val="32"/>
          <w:szCs w:val="22"/>
        </w:rPr>
      </w:pPr>
      <w:r>
        <w:rPr>
          <w:rFonts w:ascii="仿宋" w:hAnsi="仿宋" w:eastAsia="仿宋" w:cs="仿宋"/>
          <w:color w:val="auto"/>
          <w:sz w:val="32"/>
          <w:szCs w:val="22"/>
        </w:rPr>
        <w:t>宣传部、党</w:t>
      </w:r>
      <w:r>
        <w:rPr>
          <w:rFonts w:hint="eastAsia" w:ascii="仿宋" w:hAnsi="仿宋" w:eastAsia="仿宋" w:cs="仿宋"/>
          <w:color w:val="auto"/>
          <w:sz w:val="32"/>
          <w:szCs w:val="22"/>
          <w:lang w:eastAsia="zh-CN"/>
        </w:rPr>
        <w:t>校</w:t>
      </w:r>
      <w:r>
        <w:rPr>
          <w:rFonts w:ascii="仿宋" w:hAnsi="仿宋" w:eastAsia="仿宋" w:cs="仿宋"/>
          <w:color w:val="auto"/>
          <w:sz w:val="32"/>
          <w:szCs w:val="22"/>
        </w:rPr>
        <w:t>办、组织部、纪委办、学工部、研工部、教务处、后勤</w:t>
      </w:r>
      <w:r>
        <w:rPr>
          <w:rFonts w:hint="eastAsia" w:ascii="仿宋" w:hAnsi="仿宋" w:eastAsia="仿宋" w:cs="仿宋"/>
          <w:color w:val="auto"/>
          <w:sz w:val="32"/>
          <w:szCs w:val="22"/>
          <w:lang w:eastAsia="zh-CN"/>
        </w:rPr>
        <w:t>服务</w:t>
      </w:r>
      <w:r>
        <w:rPr>
          <w:rFonts w:ascii="仿宋" w:hAnsi="仿宋" w:eastAsia="仿宋" w:cs="仿宋"/>
          <w:color w:val="auto"/>
          <w:sz w:val="32"/>
          <w:szCs w:val="22"/>
        </w:rPr>
        <w:t>集团、保卫处、工会、团委、基础医学院、中药学院、针灸推拿康复学院、护理学院、人文与管理学院、民族医药学院、信息学院、国际</w:t>
      </w:r>
      <w:r>
        <w:rPr>
          <w:rFonts w:hint="eastAsia" w:ascii="仿宋" w:hAnsi="仿宋" w:eastAsia="仿宋" w:cs="仿宋"/>
          <w:color w:val="auto"/>
          <w:sz w:val="32"/>
          <w:szCs w:val="22"/>
          <w:lang w:eastAsia="zh-CN"/>
        </w:rPr>
        <w:t>教育</w:t>
      </w:r>
      <w:r>
        <w:rPr>
          <w:rFonts w:ascii="仿宋" w:hAnsi="仿宋" w:eastAsia="仿宋" w:cs="仿宋"/>
          <w:color w:val="auto"/>
          <w:sz w:val="32"/>
          <w:szCs w:val="22"/>
        </w:rPr>
        <w:t>学院、继续教育学院、体育部、图书馆、第一附属医院、第二附属医院、</w:t>
      </w:r>
      <w:r>
        <w:rPr>
          <w:rFonts w:hint="eastAsia" w:ascii="仿宋" w:hAnsi="仿宋" w:eastAsia="仿宋" w:cs="仿宋"/>
          <w:color w:val="auto"/>
          <w:sz w:val="32"/>
          <w:szCs w:val="22"/>
          <w:lang w:eastAsia="zh-CN"/>
        </w:rPr>
        <w:t>校</w:t>
      </w:r>
      <w:r>
        <w:rPr>
          <w:rFonts w:ascii="仿宋" w:hAnsi="仿宋" w:eastAsia="仿宋" w:cs="仿宋"/>
          <w:color w:val="auto"/>
          <w:sz w:val="32"/>
          <w:szCs w:val="22"/>
        </w:rPr>
        <w:t>学生会、</w:t>
      </w:r>
      <w:r>
        <w:rPr>
          <w:rFonts w:hint="eastAsia" w:ascii="仿宋" w:hAnsi="仿宋" w:eastAsia="仿宋" w:cs="仿宋"/>
          <w:color w:val="auto"/>
          <w:sz w:val="32"/>
          <w:szCs w:val="22"/>
          <w:lang w:eastAsia="zh-CN"/>
        </w:rPr>
        <w:t>校</w:t>
      </w:r>
      <w:r>
        <w:rPr>
          <w:rFonts w:ascii="仿宋" w:hAnsi="仿宋" w:eastAsia="仿宋" w:cs="仿宋"/>
          <w:color w:val="auto"/>
          <w:sz w:val="32"/>
          <w:szCs w:val="22"/>
        </w:rPr>
        <w:t xml:space="preserve">社团联合会。 </w:t>
      </w:r>
    </w:p>
    <w:p>
      <w:pPr>
        <w:spacing w:line="600" w:lineRule="exact"/>
        <w:ind w:firstLine="640" w:firstLineChars="200"/>
        <w:rPr>
          <w:rFonts w:ascii="黑体" w:hAnsi="黑体" w:eastAsia="黑体" w:cs="仿宋"/>
          <w:b w:val="0"/>
          <w:bCs w:val="0"/>
          <w:color w:val="auto"/>
          <w:sz w:val="32"/>
          <w:szCs w:val="22"/>
        </w:rPr>
      </w:pPr>
      <w:r>
        <w:rPr>
          <w:rFonts w:ascii="黑体" w:hAnsi="黑体" w:eastAsia="黑体" w:cs="仿宋"/>
          <w:b w:val="0"/>
          <w:bCs w:val="0"/>
          <w:color w:val="auto"/>
          <w:sz w:val="32"/>
          <w:szCs w:val="22"/>
        </w:rPr>
        <w:t>二、校外协作与支持单位</w:t>
      </w:r>
    </w:p>
    <w:p>
      <w:pPr>
        <w:spacing w:line="600" w:lineRule="exact"/>
        <w:ind w:firstLine="640" w:firstLineChars="200"/>
        <w:rPr>
          <w:rFonts w:ascii="仿宋" w:hAnsi="仿宋" w:eastAsia="仿宋" w:cs="仿宋"/>
          <w:color w:val="auto"/>
          <w:sz w:val="32"/>
          <w:szCs w:val="22"/>
        </w:rPr>
      </w:pPr>
      <w:r>
        <w:rPr>
          <w:rFonts w:ascii="仿宋" w:hAnsi="仿宋" w:eastAsia="仿宋" w:cs="仿宋"/>
          <w:color w:val="auto"/>
          <w:sz w:val="32"/>
          <w:szCs w:val="22"/>
        </w:rPr>
        <w:t>中央驻滇媒体：人民日报云南分社、新华社云南分社、光明日报云南记者站、经济日报云南记者站、经济日报云南记者站、中国日报云南记者站、中国青年报云南记者站、中新社云南分社、中央广播台云南站、新华网、民主与法制社云南分社。</w:t>
      </w:r>
    </w:p>
    <w:p>
      <w:pPr>
        <w:spacing w:line="600" w:lineRule="exact"/>
        <w:ind w:firstLine="640" w:firstLineChars="200"/>
        <w:rPr>
          <w:rFonts w:ascii="仿宋" w:hAnsi="仿宋" w:eastAsia="仿宋" w:cs="仿宋"/>
          <w:color w:val="auto"/>
          <w:sz w:val="32"/>
          <w:szCs w:val="22"/>
        </w:rPr>
      </w:pPr>
      <w:r>
        <w:rPr>
          <w:rFonts w:ascii="仿宋" w:hAnsi="仿宋" w:eastAsia="仿宋" w:cs="仿宋"/>
          <w:color w:val="auto"/>
          <w:sz w:val="32"/>
          <w:szCs w:val="22"/>
        </w:rPr>
        <w:t>省级媒体：云南日报、云南广播电视台、云南网、春城晚报、七彩云、昆明电视台、掌上春城、云南中医。</w:t>
      </w:r>
    </w:p>
    <w:p>
      <w:pPr>
        <w:ind w:firstLine="640" w:firstLineChars="200"/>
        <w:rPr>
          <w:rFonts w:hint="eastAsia" w:ascii="黑体" w:hAnsi="黑体" w:eastAsia="黑体" w:cs="黑体"/>
          <w:color w:val="auto"/>
          <w:sz w:val="32"/>
          <w:szCs w:val="32"/>
        </w:rPr>
      </w:pPr>
    </w:p>
    <w:p>
      <w:pPr>
        <w:ind w:firstLine="640" w:firstLineChars="200"/>
        <w:rPr>
          <w:rFonts w:hint="eastAsia" w:ascii="黑体" w:hAnsi="黑体" w:eastAsia="黑体" w:cs="黑体"/>
          <w:color w:val="auto"/>
          <w:sz w:val="32"/>
          <w:szCs w:val="32"/>
        </w:rPr>
      </w:pPr>
    </w:p>
    <w:p>
      <w:pPr>
        <w:rPr>
          <w:color w:val="auto"/>
        </w:rPr>
      </w:pPr>
    </w:p>
    <w:sectPr>
      <w:footerReference r:id="rId3" w:type="default"/>
      <w:pgSz w:w="11906" w:h="16838"/>
      <w:pgMar w:top="1240" w:right="1286" w:bottom="729"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Comic Sans MS">
    <w:panose1 w:val="030F0702030302020204"/>
    <w:charset w:val="00"/>
    <w:family w:val="auto"/>
    <w:pitch w:val="default"/>
    <w:sig w:usb0="00000287" w:usb1="00000013" w:usb2="00000000" w:usb3="00000000" w:csb0="2000009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4D55"/>
    <w:multiLevelType w:val="multilevel"/>
    <w:tmpl w:val="21654D55"/>
    <w:lvl w:ilvl="0" w:tentative="0">
      <w:start w:val="1"/>
      <w:numFmt w:val="japaneseCounting"/>
      <w:pStyle w:val="5"/>
      <w:lvlText w:val="%1、"/>
      <w:lvlJc w:val="left"/>
      <w:pPr>
        <w:ind w:left="2421"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BABA43"/>
    <w:multiLevelType w:val="singleLevel"/>
    <w:tmpl w:val="46BABA4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B6A87"/>
    <w:rsid w:val="001F1B44"/>
    <w:rsid w:val="07260B01"/>
    <w:rsid w:val="0CB539F9"/>
    <w:rsid w:val="16EF002C"/>
    <w:rsid w:val="1D540EB6"/>
    <w:rsid w:val="334B6E8F"/>
    <w:rsid w:val="39367DB3"/>
    <w:rsid w:val="3A030974"/>
    <w:rsid w:val="42572AA4"/>
    <w:rsid w:val="430F35A3"/>
    <w:rsid w:val="43DD4C8E"/>
    <w:rsid w:val="447E26FD"/>
    <w:rsid w:val="574379F5"/>
    <w:rsid w:val="574A1EF6"/>
    <w:rsid w:val="618B0B78"/>
    <w:rsid w:val="67D90D5A"/>
    <w:rsid w:val="6883740A"/>
    <w:rsid w:val="755F1D91"/>
    <w:rsid w:val="796F45A2"/>
    <w:rsid w:val="7AAB12E8"/>
    <w:rsid w:val="7B0E1E25"/>
    <w:rsid w:val="7B1B6A87"/>
    <w:rsid w:val="7D275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line="360" w:lineRule="auto"/>
      <w:jc w:val="left"/>
      <w:outlineLvl w:val="0"/>
    </w:pPr>
    <w:rPr>
      <w:rFonts w:ascii="Cambria" w:hAnsi="Cambria" w:eastAsia="黑体" w:cs="Times New Roman"/>
      <w:bCs/>
      <w:kern w:val="44"/>
      <w:sz w:val="32"/>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widowControl/>
      <w:numPr>
        <w:ilvl w:val="0"/>
        <w:numId w:val="1"/>
      </w:numPr>
      <w:spacing w:line="360" w:lineRule="auto"/>
      <w:jc w:val="center"/>
    </w:pPr>
    <w:rPr>
      <w:rFonts w:ascii="黑体" w:hAnsi="黑体" w:eastAsia="黑体" w:cs="Times New Roman"/>
      <w:kern w:val="0"/>
      <w:sz w:val="32"/>
      <w:szCs w:val="32"/>
    </w:rPr>
  </w:style>
  <w:style w:type="character" w:customStyle="1" w:styleId="8">
    <w:name w:val="font01"/>
    <w:basedOn w:val="7"/>
    <w:qFormat/>
    <w:uiPriority w:val="0"/>
    <w:rPr>
      <w:rFonts w:hint="eastAsia" w:ascii="宋体" w:hAnsi="宋体" w:eastAsia="宋体" w:cs="宋体"/>
      <w:color w:val="000000"/>
      <w:sz w:val="24"/>
      <w:szCs w:val="24"/>
      <w:u w:val="none"/>
    </w:rPr>
  </w:style>
  <w:style w:type="character" w:customStyle="1" w:styleId="9">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2019-09-28T06:47:00Z</dcterms:created>
  <dc:creator>子云</dc:creator>
  <cp:lastModifiedBy>EllE</cp:lastModifiedBy>
  <dcterms:modified xsi:type="dcterms:W3CDTF">2019-09-29T07:11:03Z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